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5BEE5" w14:textId="77777777" w:rsidR="00F51D07" w:rsidRPr="00F51D07" w:rsidRDefault="00F51D07" w:rsidP="00F51D07">
      <w:pPr>
        <w:spacing w:after="0" w:line="240" w:lineRule="auto"/>
        <w:ind w:left="357" w:hanging="35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F51D07">
        <w:rPr>
          <w:rFonts w:ascii="Times New Roman" w:eastAsia="Calibri" w:hAnsi="Times New Roman" w:cs="Times New Roman"/>
          <w:sz w:val="28"/>
          <w:szCs w:val="28"/>
        </w:rPr>
        <w:t>Приложение 15</w:t>
      </w:r>
    </w:p>
    <w:p w14:paraId="38890F9D" w14:textId="77777777" w:rsidR="00F51D07" w:rsidRPr="00F51D07" w:rsidRDefault="00F51D07" w:rsidP="00F51D07">
      <w:pPr>
        <w:tabs>
          <w:tab w:val="left" w:pos="851"/>
        </w:tabs>
        <w:spacing w:after="0" w:line="240" w:lineRule="auto"/>
        <w:ind w:left="357" w:hanging="35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51D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 Типовой учебной </w:t>
      </w:r>
    </w:p>
    <w:p w14:paraId="7D28CB41" w14:textId="77777777" w:rsidR="00F51D07" w:rsidRPr="00F51D07" w:rsidRDefault="00F51D07" w:rsidP="00F51D07">
      <w:pPr>
        <w:tabs>
          <w:tab w:val="left" w:pos="851"/>
        </w:tabs>
        <w:spacing w:after="0" w:line="240" w:lineRule="auto"/>
        <w:ind w:left="357" w:hanging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1D07">
        <w:rPr>
          <w:rFonts w:ascii="Times New Roman" w:eastAsia="Calibri" w:hAnsi="Times New Roman" w:cs="Times New Roman"/>
          <w:sz w:val="28"/>
          <w:szCs w:val="28"/>
          <w:lang w:val="kk-KZ"/>
        </w:rPr>
        <w:t>программе резидентуры</w:t>
      </w:r>
    </w:p>
    <w:p w14:paraId="210A78EC" w14:textId="77777777" w:rsidR="00F51D07" w:rsidRPr="00F51D07" w:rsidRDefault="00F51D07" w:rsidP="00F51D07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9CDB666" w14:textId="77777777" w:rsidR="00F51D07" w:rsidRPr="00F51D07" w:rsidRDefault="00F51D07" w:rsidP="00F51D07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DB3787" w14:textId="77777777" w:rsidR="00F51D07" w:rsidRPr="00F51D07" w:rsidRDefault="00F51D07" w:rsidP="00F51D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1D07">
        <w:rPr>
          <w:rFonts w:ascii="Times New Roman" w:eastAsia="Calibri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«Клиническая лабораторная диагностика»</w:t>
      </w:r>
    </w:p>
    <w:p w14:paraId="1BEE1308" w14:textId="77777777" w:rsidR="00F51D07" w:rsidRPr="00F51D07" w:rsidRDefault="00F51D07" w:rsidP="00F51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5CDD58" w14:textId="77777777" w:rsidR="00F51D07" w:rsidRPr="00F51D07" w:rsidRDefault="00F51D07" w:rsidP="00F51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D07">
        <w:rPr>
          <w:rFonts w:ascii="Times New Roman" w:eastAsia="Calibri" w:hAnsi="Times New Roman" w:cs="Times New Roman"/>
          <w:sz w:val="28"/>
          <w:szCs w:val="28"/>
        </w:rPr>
        <w:t>Продолжительность программы в годах – 2 года</w:t>
      </w:r>
    </w:p>
    <w:p w14:paraId="60A43EBA" w14:textId="77777777" w:rsidR="00F51D07" w:rsidRPr="00F51D07" w:rsidRDefault="00F51D07" w:rsidP="00F51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D07">
        <w:rPr>
          <w:rFonts w:ascii="Times New Roman" w:eastAsia="Calibri" w:hAnsi="Times New Roman" w:cs="Times New Roman"/>
          <w:sz w:val="28"/>
          <w:szCs w:val="28"/>
        </w:rPr>
        <w:t>Присваиваемая квалификация по завершению обучения – врач лабораторной диагностики</w:t>
      </w:r>
    </w:p>
    <w:p w14:paraId="18074388" w14:textId="77777777" w:rsidR="00F51D07" w:rsidRPr="00F51D07" w:rsidRDefault="00F51D07" w:rsidP="00F51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6889"/>
        <w:gridCol w:w="1843"/>
      </w:tblGrid>
      <w:tr w:rsidR="00F51D07" w:rsidRPr="00F51D07" w14:paraId="0EF097B8" w14:textId="77777777" w:rsidTr="0066386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B689B4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CD9B4E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CCBBBCD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F51D07" w:rsidRPr="00F51D07" w14:paraId="26909C6B" w14:textId="77777777" w:rsidTr="0066386F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F92511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0FD1FE" w14:textId="77777777" w:rsidR="00F51D07" w:rsidRPr="00F51D07" w:rsidRDefault="00F51D07" w:rsidP="00F51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F7EECA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138</w:t>
            </w:r>
          </w:p>
        </w:tc>
      </w:tr>
      <w:tr w:rsidR="00F51D07" w:rsidRPr="00F51D07" w14:paraId="6058D4A8" w14:textId="77777777" w:rsidTr="0066386F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4CD70F7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738122" w14:textId="77777777" w:rsidR="00F51D07" w:rsidRPr="00F51D07" w:rsidRDefault="00F51D07" w:rsidP="00F51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2DC12D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134</w:t>
            </w:r>
          </w:p>
        </w:tc>
      </w:tr>
      <w:tr w:rsidR="00F51D07" w:rsidRPr="00F51D07" w14:paraId="1AD43212" w14:textId="77777777" w:rsidTr="0066386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AE30DDE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97D984" w14:textId="77777777" w:rsidR="00F51D07" w:rsidRPr="00F51D07" w:rsidRDefault="00F51D07" w:rsidP="00F51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Клиническая лабораторная диагностика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804496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F51D07" w:rsidRPr="00F51D07" w14:paraId="6FDDE79F" w14:textId="77777777" w:rsidTr="0066386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9918E84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153DB6" w14:textId="77777777" w:rsidR="00F51D07" w:rsidRPr="00F51D07" w:rsidRDefault="00F51D07" w:rsidP="00F51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Биохимическая лабораторная диагностика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ED4E34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F51D07" w:rsidRPr="00F51D07" w14:paraId="555F2150" w14:textId="77777777" w:rsidTr="0066386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0BAA96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9BFEA7" w14:textId="77777777" w:rsidR="00F51D07" w:rsidRPr="00F51D07" w:rsidRDefault="00F51D07" w:rsidP="00F51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Коагуологическая</w:t>
            </w:r>
            <w:proofErr w:type="spellEnd"/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лабораторная диагностика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85356C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51D07" w:rsidRPr="00F51D07" w14:paraId="2803C47A" w14:textId="77777777" w:rsidTr="0066386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D8DD2EE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E1B846" w14:textId="77777777" w:rsidR="00F51D07" w:rsidRPr="00F51D07" w:rsidRDefault="00F51D07" w:rsidP="00F51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Иммунологическая лабораторная диагностика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6717AA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F51D07" w:rsidRPr="00F51D07" w14:paraId="4DAB105B" w14:textId="77777777" w:rsidTr="0066386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3954F7E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176015" w14:textId="77777777" w:rsidR="00F51D07" w:rsidRPr="00F51D07" w:rsidRDefault="00F51D07" w:rsidP="00F51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Микробиологическая лабораторная диагностика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CDA7CC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51D07" w:rsidRPr="00F51D07" w14:paraId="2C57F5DD" w14:textId="77777777" w:rsidTr="0066386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69F5C55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A60A97" w14:textId="77777777" w:rsidR="00F51D07" w:rsidRPr="00F51D07" w:rsidRDefault="00F51D07" w:rsidP="00F51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Паразитологическая лабораторная диагностика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F0F0EF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51D07" w:rsidRPr="00F51D07" w14:paraId="33F23CD7" w14:textId="77777777" w:rsidTr="0066386F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57FEEA2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F2A467" w14:textId="77777777" w:rsidR="00F51D07" w:rsidRPr="00F51D07" w:rsidRDefault="00F51D07" w:rsidP="00F51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Молекулярно-биологическая и генетическая лабораторная диагностика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99DE4F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51D07" w:rsidRPr="00F51D07" w14:paraId="2EC3AB8A" w14:textId="77777777" w:rsidTr="0066386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14CA29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C80BB" w14:textId="77777777" w:rsidR="00F51D07" w:rsidRPr="00F51D07" w:rsidRDefault="00F51D07" w:rsidP="00F51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0346E6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51D07" w:rsidRPr="00F51D07" w14:paraId="4AC6425F" w14:textId="77777777" w:rsidTr="0066386F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39899A3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4AC726" w14:textId="77777777" w:rsidR="00F51D07" w:rsidRPr="00F51D07" w:rsidRDefault="00F51D07" w:rsidP="00F51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6DAD7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51D07" w:rsidRPr="00F51D07" w14:paraId="0D967A86" w14:textId="77777777" w:rsidTr="0066386F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ED0F4E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0E02D" w14:textId="77777777" w:rsidR="00F51D07" w:rsidRPr="00F51D07" w:rsidRDefault="00F51D07" w:rsidP="00F51D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550B12" w14:textId="77777777" w:rsidR="00F51D07" w:rsidRPr="00F51D07" w:rsidRDefault="00F51D07" w:rsidP="00F51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</w:tbl>
    <w:p w14:paraId="60E71702" w14:textId="77777777" w:rsidR="00F51D07" w:rsidRPr="00F51D07" w:rsidRDefault="00F51D07" w:rsidP="00F51D07">
      <w:pPr>
        <w:spacing w:after="0" w:line="240" w:lineRule="auto"/>
        <w:ind w:left="357" w:hanging="357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</w:p>
    <w:p w14:paraId="1C6A87A3" w14:textId="77777777" w:rsidR="00F51D07" w:rsidRPr="00F51D07" w:rsidRDefault="00F51D07" w:rsidP="00F51D07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 w:rsidRPr="00F51D07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Перечень заболеваний и состояний, подлежащих наиболее распространенных диагностике и лечению</w:t>
      </w:r>
    </w:p>
    <w:p w14:paraId="3DE23EDF" w14:textId="77777777" w:rsidR="00F51D07" w:rsidRPr="00F51D07" w:rsidRDefault="00F51D07" w:rsidP="00F51D07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732"/>
      </w:tblGrid>
      <w:tr w:rsidR="00F51D07" w:rsidRPr="00F51D07" w14:paraId="58ED91F7" w14:textId="77777777" w:rsidTr="0066386F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92D5DE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236BDB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Перечень заболеваний / состояний</w:t>
            </w:r>
          </w:p>
        </w:tc>
      </w:tr>
      <w:tr w:rsidR="00F51D07" w:rsidRPr="00F51D07" w14:paraId="4E1E4412" w14:textId="77777777" w:rsidTr="0066386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058FAB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654BEB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Реактивные изменения крови Лейкоцитоз Лейкопения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Нейтрофилез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нейтропения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Эозинофилия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эозинопения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Базофилия.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Моноцитоз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моноцитопения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Лимфоцитоз и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лимфоцитопения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Эритроцитоз.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Эритроцитопения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Тромбоцитоз. Тромбоцитопения</w:t>
            </w:r>
          </w:p>
        </w:tc>
      </w:tr>
      <w:tr w:rsidR="00F51D07" w:rsidRPr="00F51D07" w14:paraId="19A63BE2" w14:textId="77777777" w:rsidTr="0066386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264E3D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9462FD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Заболевания системы кроветворения. Анемии.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Гемобластозы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Острые лейкозы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Миелопролиферативные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 Хронический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миелолейкоз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Сублейкемический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миелоз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Эритремия (истинная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полицитемия). Хронический мегакариоцитарный лейкоз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Лимфопролиферативные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</w:t>
            </w:r>
          </w:p>
        </w:tc>
      </w:tr>
      <w:tr w:rsidR="00F51D07" w:rsidRPr="00F51D07" w14:paraId="422D74B3" w14:textId="77777777" w:rsidTr="0066386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541AE1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97F20B" w14:textId="77777777" w:rsidR="00F51D07" w:rsidRPr="00F51D07" w:rsidRDefault="00F51D07" w:rsidP="00F51D07">
            <w:pPr>
              <w:widowControl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x-none"/>
              </w:rPr>
            </w:pPr>
            <w:r w:rsidRPr="00F51D0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x-none" w:eastAsia="x-none"/>
              </w:rPr>
              <w:t>Заболевания бронхолегочной системы. Туберкулез легких. Бронхиальная астма</w:t>
            </w:r>
            <w:r w:rsidRPr="00F51D0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x-none"/>
              </w:rPr>
              <w:t>. Пневмонии.</w:t>
            </w:r>
          </w:p>
        </w:tc>
      </w:tr>
      <w:tr w:rsidR="00F51D07" w:rsidRPr="00F51D07" w14:paraId="3D5AEA2E" w14:textId="77777777" w:rsidTr="0066386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E2D5A9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2B9E0A" w14:textId="77777777" w:rsidR="00F51D07" w:rsidRPr="00F51D07" w:rsidRDefault="00F51D07" w:rsidP="00F51D07">
            <w:pPr>
              <w:widowControl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x-none" w:eastAsia="x-none"/>
              </w:rPr>
            </w:pPr>
            <w:r w:rsidRPr="00F51D0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x-none" w:eastAsia="x-none"/>
              </w:rPr>
              <w:t>Заболевания органов пищеварительной системы. Заболевания желудка. Заболевания поджелудочной железы. Панкреатит</w:t>
            </w:r>
          </w:p>
        </w:tc>
      </w:tr>
      <w:tr w:rsidR="00F51D07" w:rsidRPr="00F51D07" w14:paraId="31757E6F" w14:textId="77777777" w:rsidTr="0066386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6CCFC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82DD6D" w14:textId="77777777" w:rsidR="00F51D07" w:rsidRPr="00F51D07" w:rsidRDefault="00F51D07" w:rsidP="00F51D07">
            <w:pPr>
              <w:widowControl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x-none" w:eastAsia="x-none"/>
              </w:rPr>
            </w:pPr>
            <w:r w:rsidRPr="00F51D0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x-none" w:eastAsia="x-none"/>
              </w:rPr>
              <w:t>Заболевания печени. Гепатиты, циррозы. Печеночная кома</w:t>
            </w:r>
          </w:p>
        </w:tc>
      </w:tr>
      <w:tr w:rsidR="00F51D07" w:rsidRPr="00F51D07" w14:paraId="1FB92603" w14:textId="77777777" w:rsidTr="0066386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802804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8BE410" w14:textId="77777777" w:rsidR="00F51D07" w:rsidRPr="00F51D07" w:rsidRDefault="00F51D07" w:rsidP="00F51D07">
            <w:pPr>
              <w:widowControl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x-none" w:eastAsia="x-none"/>
              </w:rPr>
            </w:pPr>
            <w:r w:rsidRPr="00F51D0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x-none" w:eastAsia="x-none"/>
              </w:rPr>
              <w:t>Заболевания кишечника</w:t>
            </w:r>
          </w:p>
        </w:tc>
      </w:tr>
      <w:tr w:rsidR="00F51D07" w:rsidRPr="00F51D07" w14:paraId="3AD2D78A" w14:textId="77777777" w:rsidTr="0066386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F3FFA8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A39D35" w14:textId="77777777" w:rsidR="00F51D07" w:rsidRPr="00F51D07" w:rsidRDefault="00F51D07" w:rsidP="00F51D07">
            <w:pPr>
              <w:widowControl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x-none" w:eastAsia="x-none"/>
              </w:rPr>
            </w:pPr>
            <w:r w:rsidRPr="00F51D0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x-none" w:eastAsia="x-none"/>
              </w:rPr>
              <w:t>Заболевания органов мочевыделительной. Нефриты, нефрозы. Острая почечная недостаточность. Хроническая почечная недостаточность</w:t>
            </w:r>
          </w:p>
        </w:tc>
      </w:tr>
      <w:tr w:rsidR="00F51D07" w:rsidRPr="00F51D07" w14:paraId="397C8966" w14:textId="77777777" w:rsidTr="0066386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A3A871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81D2B0" w14:textId="77777777" w:rsidR="00F51D07" w:rsidRPr="00F51D07" w:rsidRDefault="00F51D07" w:rsidP="00F51D07">
            <w:pPr>
              <w:widowControl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x-none" w:eastAsia="x-none"/>
              </w:rPr>
            </w:pPr>
            <w:r w:rsidRPr="00F51D0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x-none" w:eastAsia="x-none"/>
              </w:rPr>
              <w:t>Заболевания женских половых органов</w:t>
            </w:r>
          </w:p>
        </w:tc>
      </w:tr>
      <w:tr w:rsidR="00F51D07" w:rsidRPr="00F51D07" w14:paraId="24EFC5B2" w14:textId="77777777" w:rsidTr="0066386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AFD143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FBF4EB" w14:textId="77777777" w:rsidR="00F51D07" w:rsidRPr="00F51D07" w:rsidRDefault="00F51D07" w:rsidP="00F51D07">
            <w:pPr>
              <w:widowControl w:val="0"/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x-none" w:eastAsia="x-none"/>
              </w:rPr>
            </w:pPr>
            <w:r w:rsidRPr="00F51D0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x-none" w:eastAsia="x-none"/>
              </w:rPr>
              <w:t>Заболевания мужских половых органов</w:t>
            </w:r>
          </w:p>
        </w:tc>
      </w:tr>
      <w:tr w:rsidR="00F51D07" w:rsidRPr="00F51D07" w14:paraId="0D84E244" w14:textId="77777777" w:rsidTr="0066386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800DD7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9FB238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Заболевания центральной нервной системы. Поражение серозных оболочек </w:t>
            </w:r>
          </w:p>
        </w:tc>
      </w:tr>
      <w:tr w:rsidR="00F51D07" w:rsidRPr="00F51D07" w14:paraId="7D5ABC7F" w14:textId="77777777" w:rsidTr="0066386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E90EF7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EFDF6A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Эндокринные заболевания</w:t>
            </w:r>
          </w:p>
        </w:tc>
      </w:tr>
      <w:tr w:rsidR="00F51D07" w:rsidRPr="00F51D07" w14:paraId="137798A3" w14:textId="77777777" w:rsidTr="0066386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FE4FEC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4CC6E8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Аутоиммунные заболевания</w:t>
            </w:r>
          </w:p>
        </w:tc>
      </w:tr>
      <w:tr w:rsidR="00F51D07" w:rsidRPr="00F51D07" w14:paraId="35508212" w14:textId="77777777" w:rsidTr="0066386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275D55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3487F4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Сердечно-сосудистые заболевания</w:t>
            </w:r>
          </w:p>
        </w:tc>
      </w:tr>
      <w:tr w:rsidR="00F51D07" w:rsidRPr="00F51D07" w14:paraId="6D43AB1B" w14:textId="77777777" w:rsidTr="0066386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9AABB4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B9F6F4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Заболевания кожи и соединительной ткани</w:t>
            </w:r>
          </w:p>
        </w:tc>
      </w:tr>
      <w:tr w:rsidR="00F51D07" w:rsidRPr="00F51D07" w14:paraId="61AC2E42" w14:textId="77777777" w:rsidTr="0066386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081B0D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029F75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Заболевания опорно-двигательного и мышечного аппарата</w:t>
            </w:r>
          </w:p>
        </w:tc>
      </w:tr>
      <w:tr w:rsidR="00F51D07" w:rsidRPr="00F51D07" w14:paraId="2BB7FE73" w14:textId="77777777" w:rsidTr="0066386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778341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4F30FF4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Воспаление</w:t>
            </w:r>
          </w:p>
        </w:tc>
      </w:tr>
      <w:tr w:rsidR="00F51D07" w:rsidRPr="00F51D07" w14:paraId="3F9DEA1C" w14:textId="77777777" w:rsidTr="0066386F">
        <w:trPr>
          <w:trHeight w:val="1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A95087" w14:textId="77777777" w:rsidR="00F51D07" w:rsidRPr="00F51D07" w:rsidRDefault="00F51D07" w:rsidP="00F51D0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832137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Опухоли</w:t>
            </w:r>
          </w:p>
        </w:tc>
      </w:tr>
    </w:tbl>
    <w:p w14:paraId="282B17AE" w14:textId="77777777" w:rsidR="00F51D07" w:rsidRPr="00F51D07" w:rsidRDefault="00F51D07" w:rsidP="00F51D07">
      <w:pPr>
        <w:shd w:val="clear" w:color="auto" w:fill="FFFFFF"/>
        <w:spacing w:after="0" w:line="240" w:lineRule="auto"/>
        <w:ind w:left="357" w:hanging="357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18382A15" w14:textId="77777777" w:rsidR="00F51D07" w:rsidRPr="00F51D07" w:rsidRDefault="00F51D07" w:rsidP="00F51D07">
      <w:pPr>
        <w:shd w:val="clear" w:color="auto" w:fill="FFFFFF"/>
        <w:spacing w:after="0" w:line="240" w:lineRule="auto"/>
        <w:ind w:left="357" w:hanging="35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1D0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Практические навыки, манипуляции, процедуры</w:t>
      </w:r>
    </w:p>
    <w:p w14:paraId="3DB32020" w14:textId="77777777" w:rsidR="00F51D07" w:rsidRPr="00F51D07" w:rsidRDefault="00F51D07" w:rsidP="00F51D07">
      <w:pPr>
        <w:ind w:firstLine="708"/>
        <w:rPr>
          <w:sz w:val="28"/>
          <w:szCs w:val="28"/>
        </w:rPr>
      </w:pPr>
    </w:p>
    <w:tbl>
      <w:tblPr>
        <w:tblW w:w="964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3"/>
        <w:gridCol w:w="7654"/>
        <w:gridCol w:w="1012"/>
      </w:tblGrid>
      <w:tr w:rsidR="00F51D07" w:rsidRPr="00F51D07" w14:paraId="446DAA77" w14:textId="77777777" w:rsidTr="0066386F">
        <w:trPr>
          <w:trHeight w:val="31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E443D1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0A7AC0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Операция / Процедура / техника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013D8B6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51D07" w:rsidRPr="00F51D07" w14:paraId="72D95D43" w14:textId="77777777" w:rsidTr="0066386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3163E2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D1A7FA" w14:textId="77777777" w:rsidR="00F51D07" w:rsidRPr="00F51D07" w:rsidRDefault="00F51D07" w:rsidP="00F51D0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лабораторной службы. Основные законодательные,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рмативные,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</w:t>
            </w:r>
            <w:proofErr w:type="gramEnd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, регламентирующие деятельность службы. Национальные и междунаро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дные нормативно- правовые акты.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25D141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50</w:t>
            </w:r>
          </w:p>
        </w:tc>
      </w:tr>
      <w:tr w:rsidR="00F51D07" w:rsidRPr="00F51D07" w14:paraId="722F7E29" w14:textId="77777777" w:rsidTr="0066386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DBCB74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18DB35" w14:textId="77777777" w:rsidR="00F51D07" w:rsidRPr="00F51D07" w:rsidRDefault="00F51D07" w:rsidP="00F5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Система менеджмента качества медицинской лаборатории. </w:t>
            </w:r>
            <w:r w:rsidRPr="00F51D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629E77B0" w14:textId="77777777" w:rsidR="00F51D07" w:rsidRPr="00F51D07" w:rsidRDefault="00F51D07" w:rsidP="00F51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Нормы и стандарты (ISO 9001, 15189, 17025, 17043). </w:t>
            </w:r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Сертификация и аккредитация лабораторий. </w:t>
            </w:r>
          </w:p>
          <w:p w14:paraId="7462894E" w14:textId="77777777" w:rsidR="00F51D07" w:rsidRPr="00F51D07" w:rsidRDefault="00F51D07" w:rsidP="00F5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документацией. Управление случаями несоответствия. Внутренние ауд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иты. Индикаторы качества.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3A6489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50</w:t>
            </w:r>
          </w:p>
        </w:tc>
      </w:tr>
      <w:tr w:rsidR="00F51D07" w:rsidRPr="00F51D07" w14:paraId="30A23053" w14:textId="77777777" w:rsidTr="0066386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07D30D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385058" w14:textId="77777777" w:rsidR="00F51D07" w:rsidRPr="00F51D07" w:rsidRDefault="00F51D07" w:rsidP="00FA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Законодательство РК в области биобезопасности (основные принципы по биобезопасности). Требования к устройству лаборатории</w:t>
            </w:r>
            <w:r w:rsidR="00FA63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обеспечения биобезопасности. Надевание и снятие средств индивидуальной защиты. </w:t>
            </w:r>
            <w:proofErr w:type="spellStart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Медотходы</w:t>
            </w:r>
            <w:proofErr w:type="spellEnd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. Аварийные ситуации (разливы). Планирование действий при ЧС. Управление программой биобезопасности и </w:t>
            </w:r>
            <w:proofErr w:type="spellStart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биозащитой</w:t>
            </w:r>
            <w:proofErr w:type="spellEnd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, руководство по биобезопасности. Управление </w:t>
            </w:r>
            <w:proofErr w:type="spellStart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биорисками</w:t>
            </w:r>
            <w:proofErr w:type="spellEnd"/>
            <w:r w:rsidRPr="00F51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Оценка рисков (риски биобезопасности и </w:t>
            </w:r>
            <w:proofErr w:type="spellStart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биозащиты</w:t>
            </w:r>
            <w:proofErr w:type="spellEnd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) в лаборатории. Снижение рисков (риски биобезопасности и </w:t>
            </w:r>
            <w:proofErr w:type="spellStart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биозащиты</w:t>
            </w:r>
            <w:proofErr w:type="spellEnd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6F29C4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50</w:t>
            </w:r>
          </w:p>
        </w:tc>
      </w:tr>
      <w:tr w:rsidR="00F51D07" w:rsidRPr="00F51D07" w14:paraId="2EF288B7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24BE1C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9E2FD4" w14:textId="77777777" w:rsidR="00F51D07" w:rsidRPr="00F51D07" w:rsidRDefault="00F51D07" w:rsidP="00F5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Планирование, </w:t>
            </w:r>
            <w:proofErr w:type="gramStart"/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выбор,  приобретение</w:t>
            </w:r>
            <w:proofErr w:type="gramEnd"/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оборудования, реагентов, расходных материалов. Верификация и валидация оборудования. Управление оборудованием (калибровка, обслуживание, инвентарный учет). Управление реагентами и расходными материалами.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приготовления растворов и требования к качеству реактивов.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9DDB4A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50</w:t>
            </w:r>
          </w:p>
        </w:tc>
      </w:tr>
      <w:tr w:rsidR="00F51D07" w:rsidRPr="00F51D07" w14:paraId="4CB6F803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739E5D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8F0D02" w14:textId="77777777" w:rsidR="00F51D07" w:rsidRPr="00F51D07" w:rsidRDefault="00F51D07" w:rsidP="00FA63F4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</w:t>
            </w:r>
            <w:r w:rsidR="00FA6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работы по сбору, обращению, </w:t>
            </w:r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транспортировке биоматериала</w:t>
            </w:r>
            <w:r w:rsidR="00FA6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A63F4"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хранение</w:t>
            </w:r>
            <w:r w:rsidR="00FA6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A6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уничтожение</w:t>
            </w:r>
            <w:proofErr w:type="gramEnd"/>
            <w:r w:rsidR="00FA6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Маркировка и сопроводительная документация</w:t>
            </w:r>
            <w:r w:rsidRPr="00F51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качества биоматериала и его пригодности для лабораторных исследований. Информационные системы. </w:t>
            </w:r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 модели лабораторной сист</w:t>
            </w:r>
            <w:r w:rsidR="00FA6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емы. </w:t>
            </w:r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Политика и правовая база информационной системы. Инфраструктура и возможности лабораторной системы.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1F2DA8C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50</w:t>
            </w:r>
          </w:p>
        </w:tc>
      </w:tr>
      <w:tr w:rsidR="00F51D07" w:rsidRPr="00F51D07" w14:paraId="4A2DE783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556C0D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1EE3D9" w14:textId="77777777" w:rsidR="00F51D07" w:rsidRPr="00F51D07" w:rsidRDefault="00F51D07" w:rsidP="000F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контролем качества лабораторных исследований. Принципы и способы </w:t>
            </w:r>
            <w:proofErr w:type="spellStart"/>
            <w:r w:rsidRPr="00F51D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внутрилабораторной</w:t>
            </w:r>
            <w:proofErr w:type="spellEnd"/>
            <w:r w:rsidRPr="00F51D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оценки качества. Сходимость, воспроизводимость, точность, правильность исследований. Периодичность проведения контроля. Проведение оценки воспроизводимости по контрольным картам. Сбор и обработка массива данных по контрольным измерениям. Процесс построения, ведения, интерпретации и актуализации контрольных карт </w:t>
            </w:r>
            <w:proofErr w:type="spellStart"/>
            <w:r w:rsidRPr="00F51D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Шухарта</w:t>
            </w:r>
            <w:proofErr w:type="spellEnd"/>
            <w:r w:rsidRPr="00F51D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 Межлабораторный контроль качества. </w:t>
            </w:r>
            <w:r w:rsidRPr="00F51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Внешняя оценка качества (принципы, планирование, проведение, анализ результатов программы ВОК).</w:t>
            </w:r>
            <w:r w:rsidRPr="00F51D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08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нтерпретация результатов измерений в медицинской лаборатории.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17CD5B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</w:t>
            </w:r>
          </w:p>
        </w:tc>
      </w:tr>
      <w:tr w:rsidR="00F51D07" w:rsidRPr="00F51D07" w14:paraId="74E8129F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17630E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400174" w14:textId="77777777" w:rsidR="00F51D07" w:rsidRPr="00F51D07" w:rsidRDefault="00F51D07" w:rsidP="00F51D0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взятия биологического материала в гематологии.  Общие требования к гематологическому мазку, изготовление мазков крови и костного мозга. 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84922A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</w:t>
            </w:r>
          </w:p>
        </w:tc>
      </w:tr>
      <w:tr w:rsidR="00F51D07" w:rsidRPr="00F51D07" w14:paraId="4A42F4D2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1F54E7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08CE33" w14:textId="77777777" w:rsidR="00F51D07" w:rsidRPr="00F51D07" w:rsidRDefault="00F51D07" w:rsidP="00F51D0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автоматизации гематологических лабораторных исследований. Особенности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преаналитического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при работе с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автоматизированными и экспресс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анализаторами. Общий анализ крови: качественные и количественные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лейкоцитов, эритроцитов и тромбоцитов. Оценка скорости оседания эритроцитов (СОЭ). Проведение и анализ контроля качества.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 гематологических</w:t>
            </w:r>
            <w:proofErr w:type="gram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методов исследования.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DB61C8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200</w:t>
            </w:r>
          </w:p>
        </w:tc>
      </w:tr>
      <w:tr w:rsidR="00F51D07" w:rsidRPr="00F51D07" w14:paraId="1C048F05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B6FADA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C23983" w14:textId="77777777" w:rsidR="00F51D07" w:rsidRPr="00F51D07" w:rsidRDefault="00F51D07" w:rsidP="00F51D0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пунктата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костного мозга. Микроскопическое исследование костного мозга (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миелограмма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Цитохимические исследования гемопоэтических клеток.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Иммунофенотипирование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и анализ контроля качества.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Оценка и </w:t>
            </w:r>
            <w:proofErr w:type="gramStart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интерпретация  результатов</w:t>
            </w:r>
            <w:proofErr w:type="gramEnd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гематологических  исследовании крови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2538E5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</w:tr>
      <w:tr w:rsidR="00F51D07" w:rsidRPr="00F51D07" w14:paraId="1A44FB25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EF86E2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1684AA" w14:textId="77777777" w:rsidR="00F51D07" w:rsidRPr="00F51D07" w:rsidRDefault="00F51D07" w:rsidP="00F5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Принципы работы общеклинических лабораторных исследований. Техника приготовления </w:t>
            </w:r>
            <w:proofErr w:type="spellStart"/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нативных</w:t>
            </w:r>
            <w:proofErr w:type="spellEnd"/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окрашенных </w:t>
            </w:r>
            <w:proofErr w:type="gramStart"/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препаратов</w:t>
            </w:r>
            <w:r w:rsidRPr="00F51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мочи</w:t>
            </w:r>
            <w:proofErr w:type="gramEnd"/>
            <w:r w:rsidRPr="00F51D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мокроты, мазков биологического материала, желудочного и дуоденального содержимого, кала, ликвора и выпотных жидкостей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EC2B46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</w:tr>
      <w:tr w:rsidR="00F51D07" w:rsidRPr="00F51D07" w14:paraId="5C49BE30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6369CB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DE8927" w14:textId="77777777" w:rsidR="00F51D07" w:rsidRPr="00F51D07" w:rsidRDefault="00F51D07" w:rsidP="00F51D0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физических, химических и микроскопических свойств мочи. Микроскопическое исследование осадка мочи ручным методом. Автоматизированный анализ мочевого осадка. Проведение и анализ контроля качества.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Оценка и интерпретация результатов исследования мочи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409967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</w:tr>
      <w:tr w:rsidR="00F51D07" w:rsidRPr="00F51D07" w14:paraId="35673EA7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121301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6FBF7E" w14:textId="77777777" w:rsidR="00F51D07" w:rsidRPr="00F51D07" w:rsidRDefault="00F51D07" w:rsidP="00F51D0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физических, химических и микроскопических свойств мокроты при заболеваниях бронхолегочной системы. Проведение и анализ контроля качества.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Оценка и интерпретация результатов исследования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120C1C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150</w:t>
            </w:r>
          </w:p>
        </w:tc>
      </w:tr>
      <w:tr w:rsidR="00F51D07" w:rsidRPr="00F51D07" w14:paraId="53A90A76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DB5426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381A94" w14:textId="77777777" w:rsidR="00F51D07" w:rsidRPr="00F51D07" w:rsidRDefault="00F51D07" w:rsidP="00F51D0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физических, химических и микроскопических </w:t>
            </w:r>
            <w:proofErr w:type="gram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  желудочного</w:t>
            </w:r>
            <w:proofErr w:type="gram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дуоденального содержимого, при заболеваниях желудочно-кишечного тракта. Проведение и анализ контроля качества.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Оценка и </w:t>
            </w:r>
            <w:proofErr w:type="gramStart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интерпретация  результатов</w:t>
            </w:r>
            <w:proofErr w:type="gramEnd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  исследования.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60ABBB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</w:tr>
      <w:tr w:rsidR="00F51D07" w:rsidRPr="00F51D07" w14:paraId="0171B6F5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32F81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422B25" w14:textId="77777777" w:rsidR="00F51D07" w:rsidRPr="00F51D07" w:rsidRDefault="00F51D07" w:rsidP="00F51D0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физических, химических и микроскопических свойств урогенитального отделяемого (вагинального, цервикального, уретрального) для диагностики заболеваний мочеполовой системы. Оценка гормонального профиля. Оценка степени чистоты. Выявление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дисбиоза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влагалища. Выявление бактериальной флоры, простейших, признаков вирусных инфекций, микозов. Исследование физических и химических свойств семенной жидкости (эякулята). Проведение и анализ контроля качества.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 конечных</w:t>
            </w:r>
            <w:proofErr w:type="gram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лабораторных исследований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7E2EFE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44DD8630" w14:textId="77777777" w:rsidR="00F51D07" w:rsidRPr="00F51D07" w:rsidRDefault="00F51D07" w:rsidP="00F51D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150</w:t>
            </w:r>
          </w:p>
        </w:tc>
      </w:tr>
      <w:tr w:rsidR="00F51D07" w:rsidRPr="00F51D07" w14:paraId="3857335F" w14:textId="77777777" w:rsidTr="0066386F">
        <w:trPr>
          <w:trHeight w:val="168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48E7A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5A9E03" w14:textId="77777777" w:rsidR="00F51D07" w:rsidRPr="00F51D07" w:rsidRDefault="00F51D07" w:rsidP="00F5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приготовления и морфологическое исследование препаратов для цитологического исследования биологического материала из полостей, соскобы и мазки-отпечатки из органов и желез. Применение метода жидкостной цитологии.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анализ контроля качества.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Оценка и интерпретация результатов исследований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6CA733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</w:tr>
      <w:tr w:rsidR="00F51D07" w:rsidRPr="00F51D07" w14:paraId="12685E4E" w14:textId="77777777" w:rsidTr="0066386F">
        <w:trPr>
          <w:trHeight w:val="61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5A8B99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AA1605" w14:textId="77777777" w:rsidR="00F51D07" w:rsidRPr="00F51D07" w:rsidRDefault="00F51D07" w:rsidP="00F5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Скрининговые методы при онкологических заболеваниях (кал на скрытую кровь, урологические и гинекологические мазки, онкологические маркеры).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анализ контроля качества.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Оценка и интерпретация результатов исследования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1B8274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50</w:t>
            </w:r>
          </w:p>
        </w:tc>
      </w:tr>
      <w:tr w:rsidR="00F51D07" w:rsidRPr="00F51D07" w14:paraId="456AC503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F698B9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4DC880" w14:textId="77777777" w:rsidR="00F51D07" w:rsidRPr="00F51D07" w:rsidRDefault="00F51D07" w:rsidP="00F51D0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Лабораторная диагностика паразитарных заболеваний, методы их обнаружения (гельминтозов,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протозоонозов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простейших). Проведение и анализ контроля качества.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Оценка и интерпретация результатов лабораторных исследований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11A16E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300</w:t>
            </w:r>
          </w:p>
        </w:tc>
      </w:tr>
      <w:tr w:rsidR="00F51D07" w:rsidRPr="00F51D07" w14:paraId="7BE0172A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14EBF1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AC4CF3" w14:textId="77777777" w:rsidR="00F51D07" w:rsidRPr="00F51D07" w:rsidRDefault="00F51D07" w:rsidP="00F5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кислотно-основного состояния (определение кислотно-щелочного состояния, газов и электролитов крови). Применение автоматических анализаторов.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анализ контроля качества.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Оценка и интерпретация результатов лабораторных исследований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10DC4C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</w:tr>
      <w:tr w:rsidR="00F51D07" w:rsidRPr="00F51D07" w14:paraId="2E22F855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E59201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1F11FF" w14:textId="77777777" w:rsidR="00F51D07" w:rsidRPr="00F51D07" w:rsidRDefault="00F51D07" w:rsidP="00F51D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биохимических исследований биологических жидкостей при нарушениях обмена веществ.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автоматизации биохимических лабораторных исследований. Проведение и анализ контроля качества.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Оценка и интерпретация результатов биохимических исследований биологических жидкостей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02311D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300</w:t>
            </w:r>
          </w:p>
        </w:tc>
      </w:tr>
      <w:tr w:rsidR="00F51D07" w:rsidRPr="00F51D07" w14:paraId="0C975764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9DA3B5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9E0D87" w14:textId="77777777" w:rsidR="00F51D07" w:rsidRPr="00F51D07" w:rsidRDefault="00F51D07" w:rsidP="00F5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неотложных состоянии при дыхательной, сердечной, почечной, печеночной недостаточности, ДВС-синдроме, </w:t>
            </w:r>
            <w:proofErr w:type="spellStart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сесписе</w:t>
            </w:r>
            <w:proofErr w:type="spellEnd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, токсических состояний. Оценка и интерпретация результатов лабораторных исследований.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79C56A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</w:tr>
      <w:tr w:rsidR="00F51D07" w:rsidRPr="00F51D07" w14:paraId="6FC9FECD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004FAD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FD6A1B" w14:textId="77777777" w:rsidR="00F51D07" w:rsidRPr="00F51D07" w:rsidRDefault="00F51D07" w:rsidP="00F51D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Лабораторная диагностика нарушения системы гемостаза. Проведение </w:t>
            </w:r>
            <w:proofErr w:type="spellStart"/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коагулологических</w:t>
            </w:r>
            <w:proofErr w:type="spellEnd"/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методов исследования на полуавтоматических и автоматизированных системах (</w:t>
            </w:r>
            <w:proofErr w:type="spellStart"/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протромбиновое</w:t>
            </w:r>
            <w:proofErr w:type="spellEnd"/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время (ПВ), </w:t>
            </w:r>
            <w:proofErr w:type="spellStart"/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тромбиновое</w:t>
            </w:r>
            <w:proofErr w:type="spellEnd"/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время (ТВ), международное нормализованное отношение (МНО), </w:t>
            </w:r>
            <w:proofErr w:type="spellStart"/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протромбиновый</w:t>
            </w:r>
            <w:proofErr w:type="spellEnd"/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индекс (ПИ), активированное частичное </w:t>
            </w:r>
            <w:proofErr w:type="spellStart"/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промбиновое</w:t>
            </w:r>
            <w:proofErr w:type="spellEnd"/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время (АЧТВ), фибриноген и Д-</w:t>
            </w:r>
            <w:proofErr w:type="spellStart"/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димеры</w:t>
            </w:r>
            <w:proofErr w:type="spellEnd"/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, факторы свертывания).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анализ контроля качества.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Оценка и интерпретация результатов </w:t>
            </w:r>
            <w:proofErr w:type="spellStart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коагуологических</w:t>
            </w:r>
            <w:proofErr w:type="spellEnd"/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исследовании в плазме крови.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DC4182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200</w:t>
            </w:r>
          </w:p>
        </w:tc>
      </w:tr>
      <w:tr w:rsidR="00F51D07" w:rsidRPr="00F51D07" w14:paraId="1F792069" w14:textId="77777777" w:rsidTr="0066386F">
        <w:trPr>
          <w:trHeight w:val="169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0F1F0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5D8E5A94" w14:textId="77777777" w:rsidR="00F51D07" w:rsidRPr="00F51D07" w:rsidRDefault="00F51D07" w:rsidP="00F51D07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35CA2A" w14:textId="77777777" w:rsidR="00F51D07" w:rsidRPr="00F51D07" w:rsidRDefault="00F51D07" w:rsidP="00F51D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Лабораторная диагностика при нарушениях иммунной системы. Подготовка и проведение иммунологических методов исследования.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 анализ контроля качества. 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Оценка и интерпретация результатов иммунологических исследований.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998466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150</w:t>
            </w:r>
          </w:p>
        </w:tc>
      </w:tr>
      <w:tr w:rsidR="00F51D07" w:rsidRPr="00F51D07" w14:paraId="1B50FA85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DD3071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981FCA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Иммунохемилюминесцентные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электрохемилюминисцентные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иммуноферментные методы исследования в медицинской лаборатории. Способы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детекции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иммунохимической реакции. Проведение и анализ контроля качества. 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Оценка и интерпретация результатов исследований при эндокринных, аутоиммунных и инфекционных заболеваниях, лекарственного мониторинга.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085FD3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</w:tr>
      <w:tr w:rsidR="00F51D07" w:rsidRPr="00F51D07" w14:paraId="2B3662C5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A78421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84A83A" w14:textId="77777777" w:rsidR="00F51D07" w:rsidRPr="00F51D07" w:rsidRDefault="00F51D07" w:rsidP="00F51D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Постановка реакции преципитации (РП) (микропреципитации с кардиолипиновым антигеном в сыворотке крови ручным методом), реакции связывания комплемента (РСК) (реакция Вассермана), реакция агглютинации (РА), реакция непрямой гемагглютинации (РНГА), реакция пассивной гемагглютинации (РПГА), реакция торможения гемагглютинации (РТГА), реакция нейтрализации (РН).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и анализ контроля качества. 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>Оценка и интерпретация результатов иммунологических исследований.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36826D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</w:tr>
      <w:tr w:rsidR="00F51D07" w:rsidRPr="00F51D07" w14:paraId="6441935E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77EADE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5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7A358A" w14:textId="77777777" w:rsidR="00F51D07" w:rsidRPr="00F51D07" w:rsidRDefault="00F51D07" w:rsidP="00F5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диагностика иммуногематологических (изосерологических, иммуногенетических) методов исследования. Применение автоматизированных и полуавтоматических систем. Определение группы крови, резус-фактора, антиэритроцитарных антител и титра антител.</w:t>
            </w:r>
            <w:r w:rsidRPr="00F51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и анализ контроля качества.</w:t>
            </w:r>
            <w:r w:rsidRPr="00F51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и интерпретация результатов иммуногематологических исследований.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64E8BE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51D07" w:rsidRPr="00F51D07" w14:paraId="4A7E8739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BF6EE4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0DF054" w14:textId="77777777" w:rsidR="00F51D07" w:rsidRPr="00F51D07" w:rsidRDefault="00F51D07" w:rsidP="00F51D0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метода проточной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цитофлуориметрии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Особенности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преаналитического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исследования.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Пробоподготовка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Методика проведения исследования. Системы компьютерного анализа изображения клеток. Аппараты проточной </w:t>
            </w:r>
            <w:proofErr w:type="spell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цитофлуориметрии</w:t>
            </w:r>
            <w:proofErr w:type="spell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и анализ контроля качества.</w:t>
            </w:r>
            <w:r w:rsidRPr="00F5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 конечных</w:t>
            </w:r>
            <w:proofErr w:type="gram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лабораторных исследований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C995A4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</w:tr>
      <w:tr w:rsidR="00F51D07" w:rsidRPr="00F51D07" w14:paraId="6B85BD7F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167CF5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C4A862" w14:textId="77777777" w:rsidR="00F51D07" w:rsidRPr="00F51D07" w:rsidRDefault="00F51D07" w:rsidP="00F51D0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диагностика микробиологических исследований. Выбор метода и способы взятия биоматериала.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Оценка качества биоматериала и его пригодности для лабораторных исследований. Приготовление питательных сред. Бактериологический метод.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посева и окраски исследуемого материала, идентификация и определение чувствительности к антимикробным препаратам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Вирусологический метод. Микологический метод. Применение автоматизированных систем микробиологического процесса.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и анализ контроля качества. </w:t>
            </w:r>
            <w:proofErr w:type="gramStart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Интерпретация  конечных</w:t>
            </w:r>
            <w:proofErr w:type="gramEnd"/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лабораторных исследований.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7C884C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</w:t>
            </w:r>
          </w:p>
        </w:tc>
      </w:tr>
      <w:tr w:rsidR="00F51D07" w:rsidRPr="00F51D07" w14:paraId="1BD61DED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C3B4F1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012225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Методы микроскопии в медицинской лаборатории. Световая микроскопия. Инвертированные биологические микроскопы, Люминесцентная микроскопия. Флуоресцентная микроскопия. Стереоскопическая микроскопия. Электронная микроскопия.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анализ контроля качества при микроскопии.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87BFCE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</w:tr>
      <w:tr w:rsidR="00F51D07" w:rsidRPr="00F51D07" w14:paraId="4A3CCD64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6C9A5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B2696D" w14:textId="77777777" w:rsidR="00F51D07" w:rsidRPr="00F51D07" w:rsidRDefault="00F51D07" w:rsidP="00F51D0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медико-генетических лабораторных исследований. Техника забора биологического материала для медико-генетических исследований.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Виды и методы проведения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медико-генетических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исследований. Скрининговые методы исследований. 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анализ контроля качества медико-генетических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исследований.</w:t>
            </w: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Интерпретация результатов генетических исследований.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835410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</w:tr>
      <w:tr w:rsidR="00F51D07" w:rsidRPr="00F51D07" w14:paraId="4D726A48" w14:textId="77777777" w:rsidTr="0066386F">
        <w:trPr>
          <w:trHeight w:val="5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A05E9B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1D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01"/>
            </w:tblGrid>
            <w:tr w:rsidR="00F51D07" w:rsidRPr="00F51D07" w14:paraId="73E3AA1C" w14:textId="77777777" w:rsidTr="0066386F">
              <w:trPr>
                <w:trHeight w:val="90"/>
              </w:trPr>
              <w:tc>
                <w:tcPr>
                  <w:tcW w:w="6901" w:type="dxa"/>
                </w:tcPr>
                <w:p w14:paraId="385A1BA7" w14:textId="77777777" w:rsidR="00F51D07" w:rsidRPr="00F51D07" w:rsidRDefault="00F51D07" w:rsidP="00F51D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F51D0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Молекулярно-биологические методы исследования, применение в практической медицине. </w:t>
                  </w:r>
                  <w:proofErr w:type="spellStart"/>
                  <w:r w:rsidRPr="00F51D0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Полимеразно</w:t>
                  </w:r>
                  <w:proofErr w:type="spellEnd"/>
                  <w:r w:rsidRPr="00F51D0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-цепная реакция (ПЦР). </w:t>
                  </w:r>
                  <w:proofErr w:type="spellStart"/>
                  <w:r w:rsidRPr="00F51D0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Геносеквенирование</w:t>
                  </w:r>
                  <w:proofErr w:type="spellEnd"/>
                  <w:r w:rsidRPr="00F51D0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.</w:t>
                  </w:r>
                  <w:r w:rsidRPr="00F51D07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51D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и анализ контроля качества </w:t>
                  </w:r>
                  <w:r w:rsidRPr="00F51D0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молекулярно-биологических методов исследования. </w:t>
                  </w:r>
                  <w:proofErr w:type="gramStart"/>
                  <w:r w:rsidRPr="00F51D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Интерпретация  конечных</w:t>
                  </w:r>
                  <w:proofErr w:type="gramEnd"/>
                  <w:r w:rsidRPr="00F51D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результатов лабораторных исследований.</w:t>
                  </w:r>
                </w:p>
              </w:tc>
            </w:tr>
          </w:tbl>
          <w:p w14:paraId="0001E937" w14:textId="77777777" w:rsidR="00F51D07" w:rsidRPr="00F51D07" w:rsidRDefault="00F51D07" w:rsidP="00F51D07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5C8BF7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</w:tr>
      <w:tr w:rsidR="00F51D07" w:rsidRPr="00F51D07" w14:paraId="6280F554" w14:textId="77777777" w:rsidTr="0066386F">
        <w:trPr>
          <w:trHeight w:val="53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6434E8" w14:textId="77777777" w:rsidR="00F51D07" w:rsidRPr="00F51D07" w:rsidRDefault="00F51D07" w:rsidP="00F5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07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4E7F92" w14:textId="77777777" w:rsidR="00F51D07" w:rsidRPr="00F51D07" w:rsidRDefault="00F51D07" w:rsidP="00F51D07">
            <w:pPr>
              <w:shd w:val="clear" w:color="auto" w:fill="FFFFFF"/>
              <w:spacing w:after="0" w:line="240" w:lineRule="auto"/>
              <w:ind w:left="35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51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3700</w:t>
            </w:r>
          </w:p>
        </w:tc>
      </w:tr>
    </w:tbl>
    <w:p w14:paraId="085089EF" w14:textId="77777777" w:rsidR="00F51D07" w:rsidRPr="00F51D07" w:rsidRDefault="00F51D07" w:rsidP="00F51D07">
      <w:pPr>
        <w:ind w:firstLine="708"/>
        <w:rPr>
          <w:sz w:val="28"/>
          <w:szCs w:val="28"/>
        </w:rPr>
      </w:pPr>
    </w:p>
    <w:p w14:paraId="14C85751" w14:textId="77777777" w:rsidR="00913F53" w:rsidRDefault="00913F53"/>
    <w:sectPr w:rsidR="0091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74979"/>
    <w:multiLevelType w:val="hybridMultilevel"/>
    <w:tmpl w:val="A29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86"/>
    <w:rsid w:val="000F0899"/>
    <w:rsid w:val="00913F53"/>
    <w:rsid w:val="00AC2D15"/>
    <w:rsid w:val="00E44186"/>
    <w:rsid w:val="00F51D07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4CE3"/>
  <w15:chartTrackingRefBased/>
  <w15:docId w15:val="{E907DECA-DAAA-4660-89AB-4464B9F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</cp:revision>
  <dcterms:created xsi:type="dcterms:W3CDTF">2022-02-01T07:16:00Z</dcterms:created>
  <dcterms:modified xsi:type="dcterms:W3CDTF">2022-02-01T07:16:00Z</dcterms:modified>
</cp:coreProperties>
</file>