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9F" w:rsidRDefault="007A549E" w:rsidP="00CD7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</w:t>
      </w:r>
      <w:r w:rsidR="00AA743E">
        <w:t xml:space="preserve">      </w:t>
      </w:r>
      <w:r w:rsidR="00AA743E" w:rsidRPr="007A549E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3B31B3" w:rsidRPr="007A549E">
        <w:rPr>
          <w:rFonts w:ascii="Times New Roman" w:hAnsi="Times New Roman" w:cs="Times New Roman"/>
          <w:sz w:val="20"/>
          <w:szCs w:val="20"/>
        </w:rPr>
        <w:t xml:space="preserve"> об ито</w:t>
      </w:r>
      <w:r w:rsidR="00A354B3">
        <w:rPr>
          <w:rFonts w:ascii="Times New Roman" w:hAnsi="Times New Roman" w:cs="Times New Roman"/>
          <w:sz w:val="20"/>
          <w:szCs w:val="20"/>
        </w:rPr>
        <w:t>гах закупа способом запроса цен</w:t>
      </w:r>
      <w:r w:rsidR="003B31B3" w:rsidRPr="007A549E">
        <w:rPr>
          <w:rFonts w:ascii="Times New Roman" w:hAnsi="Times New Roman" w:cs="Times New Roman"/>
          <w:sz w:val="20"/>
          <w:szCs w:val="20"/>
        </w:rPr>
        <w:t>овых предложений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CD7BA7" w:rsidRDefault="001B1C3A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A549E" w:rsidRDefault="007A549E" w:rsidP="00CD7BA7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Алматы                                                                                                    </w:t>
      </w:r>
      <w:r w:rsidR="0020269F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«____»</w:t>
      </w:r>
      <w:r w:rsidR="0020269F">
        <w:rPr>
          <w:rFonts w:ascii="Times New Roman" w:hAnsi="Times New Roman" w:cs="Times New Roman"/>
          <w:sz w:val="20"/>
          <w:szCs w:val="20"/>
        </w:rPr>
        <w:t>_________2017г.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2491D" w:rsidRDefault="0020269F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Организ</w:t>
      </w:r>
      <w:r w:rsidR="00C340D1">
        <w:rPr>
          <w:rFonts w:ascii="Times New Roman" w:hAnsi="Times New Roman" w:cs="Times New Roman"/>
          <w:sz w:val="20"/>
          <w:szCs w:val="20"/>
        </w:rPr>
        <w:t>атор закупок Республиканское го</w:t>
      </w:r>
      <w:r>
        <w:rPr>
          <w:rFonts w:ascii="Times New Roman" w:hAnsi="Times New Roman" w:cs="Times New Roman"/>
          <w:sz w:val="20"/>
          <w:szCs w:val="20"/>
        </w:rPr>
        <w:t>сударственное предприятие на праве</w:t>
      </w:r>
      <w:r w:rsidR="00C340D1">
        <w:rPr>
          <w:rFonts w:ascii="Times New Roman" w:hAnsi="Times New Roman" w:cs="Times New Roman"/>
          <w:sz w:val="20"/>
          <w:szCs w:val="20"/>
        </w:rPr>
        <w:t xml:space="preserve"> хозяйственного ведения «Казахский национальный ме</w:t>
      </w:r>
      <w:r w:rsidR="00050C8F">
        <w:rPr>
          <w:rFonts w:ascii="Times New Roman" w:hAnsi="Times New Roman" w:cs="Times New Roman"/>
          <w:sz w:val="20"/>
          <w:szCs w:val="20"/>
        </w:rPr>
        <w:t xml:space="preserve">дицинский университет имени С.Д. </w:t>
      </w:r>
      <w:proofErr w:type="spellStart"/>
      <w:r w:rsidR="00050C8F">
        <w:rPr>
          <w:rFonts w:ascii="Times New Roman" w:hAnsi="Times New Roman" w:cs="Times New Roman"/>
          <w:sz w:val="20"/>
          <w:szCs w:val="20"/>
        </w:rPr>
        <w:t>Асфендиярова</w:t>
      </w:r>
      <w:proofErr w:type="spellEnd"/>
      <w:r w:rsidR="00C340D1">
        <w:rPr>
          <w:rFonts w:ascii="Times New Roman" w:hAnsi="Times New Roman" w:cs="Times New Roman"/>
          <w:sz w:val="20"/>
          <w:szCs w:val="20"/>
        </w:rPr>
        <w:t>»</w:t>
      </w:r>
      <w:r w:rsidR="00CB0DFC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 </w:t>
      </w:r>
      <w:r w:rsidR="00795983">
        <w:rPr>
          <w:rFonts w:ascii="Times New Roman" w:hAnsi="Times New Roman" w:cs="Times New Roman"/>
          <w:sz w:val="20"/>
          <w:szCs w:val="20"/>
        </w:rPr>
        <w:t>Республики Казахстан, находящегося по адресу</w:t>
      </w:r>
      <w:r w:rsidR="00CD65CF">
        <w:rPr>
          <w:rFonts w:ascii="Times New Roman" w:hAnsi="Times New Roman" w:cs="Times New Roman"/>
          <w:sz w:val="20"/>
          <w:szCs w:val="20"/>
        </w:rPr>
        <w:t xml:space="preserve"> </w:t>
      </w:r>
      <w:r w:rsidR="00B33EAB">
        <w:rPr>
          <w:rFonts w:ascii="Times New Roman" w:hAnsi="Times New Roman" w:cs="Times New Roman"/>
          <w:sz w:val="20"/>
          <w:szCs w:val="20"/>
        </w:rPr>
        <w:t xml:space="preserve">г. Алматы, ул. </w:t>
      </w:r>
      <w:r w:rsidR="003D1EF6">
        <w:rPr>
          <w:rFonts w:ascii="Times New Roman" w:hAnsi="Times New Roman" w:cs="Times New Roman"/>
          <w:sz w:val="20"/>
          <w:szCs w:val="20"/>
        </w:rPr>
        <w:t xml:space="preserve">Толе Би 94 </w:t>
      </w:r>
      <w:r w:rsidR="007D14C1">
        <w:rPr>
          <w:rFonts w:ascii="Times New Roman" w:hAnsi="Times New Roman" w:cs="Times New Roman"/>
          <w:sz w:val="20"/>
          <w:szCs w:val="20"/>
        </w:rPr>
        <w:t>провел закупки способом запроса ценовых предложений по следующим наименованиям:</w:t>
      </w: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CD7BA7" w:rsidRDefault="00CD7BA7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7844" w:type="dxa"/>
        <w:jc w:val="center"/>
        <w:tblInd w:w="-1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272"/>
        <w:gridCol w:w="707"/>
        <w:gridCol w:w="1412"/>
        <w:gridCol w:w="1590"/>
        <w:gridCol w:w="1766"/>
      </w:tblGrid>
      <w:tr w:rsidR="0068073B" w:rsidRPr="00567EFC" w:rsidTr="00902B1F">
        <w:trPr>
          <w:trHeight w:val="155"/>
          <w:jc w:val="center"/>
        </w:trPr>
        <w:tc>
          <w:tcPr>
            <w:tcW w:w="1097" w:type="dxa"/>
          </w:tcPr>
          <w:p w:rsidR="0068073B" w:rsidRPr="006025C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4"/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ru-RU"/>
              </w:rPr>
              <w:t>№</w:t>
            </w:r>
          </w:p>
        </w:tc>
        <w:tc>
          <w:tcPr>
            <w:tcW w:w="1272" w:type="dxa"/>
          </w:tcPr>
          <w:p w:rsidR="0068073B" w:rsidRPr="00567EFC" w:rsidRDefault="006025CC" w:rsidP="00371B1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" w:right="-54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 xml:space="preserve">Тауардың атауы/ Наименование  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Товара</w:t>
            </w:r>
          </w:p>
        </w:tc>
        <w:tc>
          <w:tcPr>
            <w:tcW w:w="707" w:type="dxa"/>
          </w:tcPr>
          <w:p w:rsidR="006025CC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Өлшем бірлігі/</w:t>
            </w:r>
          </w:p>
          <w:p w:rsidR="0068073B" w:rsidRPr="00567EFC" w:rsidRDefault="006025CC" w:rsidP="006025CC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3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Еди-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ница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изме-</w:t>
            </w: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br/>
              <w:t>рения</w:t>
            </w:r>
          </w:p>
        </w:tc>
        <w:tc>
          <w:tcPr>
            <w:tcW w:w="1412" w:type="dxa"/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Саны/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3" w:right="-49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Кол-во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91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бірлігінің бағасы (теңгемен)/</w:t>
            </w:r>
            <w:r w:rsidRPr="00567EFC">
              <w:rPr>
                <w:bCs/>
                <w:color w:val="000000"/>
                <w:sz w:val="16"/>
                <w:szCs w:val="16"/>
              </w:rPr>
              <w:t>Цена за единицу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</w:rPr>
              <w:t>(в тенге)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BC09EF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85" w:right="-85"/>
              <w:jc w:val="center"/>
              <w:rPr>
                <w:bCs/>
                <w:color w:val="000000"/>
                <w:sz w:val="16"/>
                <w:szCs w:val="16"/>
                <w:lang w:val="kk-KZ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Тауардың жалпы құны (теңгемен)/ Общая стоимость Товара</w:t>
            </w:r>
          </w:p>
          <w:p w:rsidR="0068073B" w:rsidRPr="00567EFC" w:rsidRDefault="00BC09EF" w:rsidP="00BC09E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3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7EFC">
              <w:rPr>
                <w:bCs/>
                <w:color w:val="000000"/>
                <w:sz w:val="16"/>
                <w:szCs w:val="16"/>
                <w:lang w:val="kk-KZ"/>
              </w:rPr>
              <w:t>(в тенге)</w:t>
            </w:r>
          </w:p>
        </w:tc>
      </w:tr>
      <w:tr w:rsidR="00C27088" w:rsidRPr="00567EFC" w:rsidTr="007D3A13">
        <w:trPr>
          <w:trHeight w:val="638"/>
          <w:jc w:val="center"/>
        </w:trPr>
        <w:tc>
          <w:tcPr>
            <w:tcW w:w="1097" w:type="dxa"/>
          </w:tcPr>
          <w:p w:rsidR="00C27088" w:rsidRPr="00B51314" w:rsidRDefault="00C27088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1</w:t>
            </w:r>
          </w:p>
        </w:tc>
        <w:tc>
          <w:tcPr>
            <w:tcW w:w="1272" w:type="dxa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W9138 Шовный хирургический стерильный, синтетический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№0, длиной нити (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75 с атравматическими иглами   </w:t>
            </w:r>
          </w:p>
        </w:tc>
        <w:tc>
          <w:tcPr>
            <w:tcW w:w="707" w:type="dxa"/>
          </w:tcPr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Default="00C27088" w:rsidP="006B5FB0">
            <w:pPr>
              <w:spacing w:line="240" w:lineRule="auto"/>
              <w:jc w:val="center"/>
            </w:pPr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C27088" w:rsidRPr="00D41788" w:rsidRDefault="00C27088" w:rsidP="006B5FB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1 500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C27088" w:rsidRPr="00FD768D" w:rsidRDefault="00C27088" w:rsidP="006B5FB0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1 200 000</w:t>
            </w:r>
          </w:p>
        </w:tc>
      </w:tr>
      <w:tr w:rsidR="00C27088" w:rsidRPr="00567EFC" w:rsidTr="00DD4BDB">
        <w:trPr>
          <w:trHeight w:val="3091"/>
          <w:jc w:val="center"/>
        </w:trPr>
        <w:tc>
          <w:tcPr>
            <w:tcW w:w="1097" w:type="dxa"/>
          </w:tcPr>
          <w:p w:rsidR="00C27088" w:rsidRPr="00B51314" w:rsidRDefault="00C27088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1272" w:type="dxa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W9213 Шовный хирургический стерильный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синтетический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№1, длиной нити (см): 75 с атравматическими иглами   </w:t>
            </w:r>
          </w:p>
        </w:tc>
        <w:tc>
          <w:tcPr>
            <w:tcW w:w="707" w:type="dxa"/>
          </w:tcPr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Default="00C27088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C27088" w:rsidRPr="00D41788" w:rsidRDefault="00C27088" w:rsidP="00DD4B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1 600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1 280 000</w:t>
            </w:r>
          </w:p>
        </w:tc>
      </w:tr>
      <w:tr w:rsidR="00C27088" w:rsidRPr="00567EFC" w:rsidTr="007D3A13">
        <w:trPr>
          <w:trHeight w:val="567"/>
          <w:jc w:val="center"/>
        </w:trPr>
        <w:tc>
          <w:tcPr>
            <w:tcW w:w="1097" w:type="dxa"/>
          </w:tcPr>
          <w:p w:rsidR="00C27088" w:rsidRPr="00B51314" w:rsidRDefault="00C27088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1272" w:type="dxa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W9121 Шовный хирургический стерильный, синтетический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№2/0, длиной нити (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75 с атравматическими иглами   </w:t>
            </w:r>
          </w:p>
        </w:tc>
        <w:tc>
          <w:tcPr>
            <w:tcW w:w="707" w:type="dxa"/>
          </w:tcPr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04ED7" w:rsidRDefault="00E04ED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Default="00C27088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C27088" w:rsidRPr="00D41788" w:rsidRDefault="00C27088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1 400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1 120 000</w:t>
            </w:r>
          </w:p>
        </w:tc>
      </w:tr>
      <w:tr w:rsidR="00C27088" w:rsidRPr="00567EFC" w:rsidTr="007D3A13">
        <w:trPr>
          <w:trHeight w:val="560"/>
          <w:jc w:val="center"/>
        </w:trPr>
        <w:tc>
          <w:tcPr>
            <w:tcW w:w="1097" w:type="dxa"/>
          </w:tcPr>
          <w:p w:rsidR="00C27088" w:rsidRPr="00567EFC" w:rsidRDefault="00C27088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lastRenderedPageBreak/>
              <w:t>4</w:t>
            </w:r>
          </w:p>
        </w:tc>
        <w:tc>
          <w:tcPr>
            <w:tcW w:w="1272" w:type="dxa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W9114 Шовный хирургический стерильный, синтетический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№3/0, длиной нити (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75 с атравматическими иглами   </w:t>
            </w:r>
          </w:p>
        </w:tc>
        <w:tc>
          <w:tcPr>
            <w:tcW w:w="707" w:type="dxa"/>
          </w:tcPr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35279" w:rsidRDefault="003352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Default="00C27088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DD4BDB" w:rsidRDefault="00DD4BDB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4BDB" w:rsidRDefault="00DD4BDB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4BDB" w:rsidRDefault="00DD4BDB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4BDB" w:rsidRDefault="00DD4BDB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DD4BDB" w:rsidRDefault="00DD4BDB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C27088" w:rsidRPr="00D41788" w:rsidRDefault="00C27088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DD4BD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4BDB" w:rsidRDefault="00DD4BDB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2 500 000</w:t>
            </w:r>
          </w:p>
        </w:tc>
      </w:tr>
      <w:tr w:rsidR="00C27088" w:rsidRPr="00567EFC" w:rsidTr="007D3A13">
        <w:trPr>
          <w:trHeight w:val="496"/>
          <w:jc w:val="center"/>
        </w:trPr>
        <w:tc>
          <w:tcPr>
            <w:tcW w:w="1097" w:type="dxa"/>
          </w:tcPr>
          <w:p w:rsidR="00C27088" w:rsidRPr="00567EFC" w:rsidRDefault="00C27088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1272" w:type="dxa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W9106 Шовный хирургический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стерильный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,с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интетический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№4/0, длиной нити (см): 75 с атравматическими иглами   </w:t>
            </w:r>
          </w:p>
        </w:tc>
        <w:tc>
          <w:tcPr>
            <w:tcW w:w="707" w:type="dxa"/>
          </w:tcPr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Default="00C27088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C27088" w:rsidRPr="00347041" w:rsidRDefault="00C27088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C27088" w:rsidRPr="00FD768D" w:rsidRDefault="00C27088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1 875 000</w:t>
            </w:r>
          </w:p>
        </w:tc>
      </w:tr>
      <w:tr w:rsidR="00153B86" w:rsidRPr="00567EFC" w:rsidTr="00072F06">
        <w:trPr>
          <w:trHeight w:val="642"/>
          <w:jc w:val="center"/>
        </w:trPr>
        <w:tc>
          <w:tcPr>
            <w:tcW w:w="1097" w:type="dxa"/>
          </w:tcPr>
          <w:p w:rsidR="00153B86" w:rsidRPr="00567EFC" w:rsidRDefault="00153B86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1272" w:type="dxa"/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W9105 Шовный хирургический стерильный, синтетический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(фиолетовый), условным №5/0, длиной нити (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75 с атравматическими иглами   </w:t>
            </w:r>
          </w:p>
        </w:tc>
        <w:tc>
          <w:tcPr>
            <w:tcW w:w="707" w:type="dxa"/>
          </w:tcPr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153B86" w:rsidRPr="00347041" w:rsidRDefault="00153B86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1 250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2 500 000</w:t>
            </w:r>
          </w:p>
        </w:tc>
      </w:tr>
      <w:tr w:rsidR="00153B86" w:rsidRPr="00567EFC" w:rsidTr="00072F06">
        <w:trPr>
          <w:trHeight w:val="425"/>
          <w:jc w:val="center"/>
        </w:trPr>
        <w:tc>
          <w:tcPr>
            <w:tcW w:w="1097" w:type="dxa"/>
          </w:tcPr>
          <w:p w:rsidR="00153B86" w:rsidRPr="00567EFC" w:rsidRDefault="00153B86" w:rsidP="00371B1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1272" w:type="dxa"/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W9981 Шовный хирургический стерильный, синтетический  рассасывающийся материал </w:t>
            </w:r>
            <w:proofErr w:type="spell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Vicryl</w:t>
            </w:r>
            <w:proofErr w:type="spell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(неокрашенный), условным №6/0, длиной нити (</w:t>
            </w:r>
            <w:proofErr w:type="gramStart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см</w:t>
            </w:r>
            <w:proofErr w:type="gramEnd"/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): 45 с атравматическими иглами   </w:t>
            </w:r>
          </w:p>
        </w:tc>
        <w:tc>
          <w:tcPr>
            <w:tcW w:w="707" w:type="dxa"/>
          </w:tcPr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>
            <w:proofErr w:type="spellStart"/>
            <w:proofErr w:type="gramStart"/>
            <w:r w:rsidRPr="00E77A2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2" w:type="dxa"/>
            <w:vAlign w:val="bottom"/>
          </w:tcPr>
          <w:p w:rsidR="00153B86" w:rsidRPr="00347041" w:rsidRDefault="00153B86" w:rsidP="00947F8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1 950</w:t>
            </w:r>
          </w:p>
        </w:tc>
        <w:tc>
          <w:tcPr>
            <w:tcW w:w="1766" w:type="dxa"/>
            <w:tcBorders>
              <w:left w:val="single" w:sz="4" w:space="0" w:color="auto"/>
            </w:tcBorders>
            <w:vAlign w:val="bottom"/>
          </w:tcPr>
          <w:p w:rsidR="00153B86" w:rsidRPr="00FD768D" w:rsidRDefault="00153B86" w:rsidP="000F7B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D768D">
              <w:rPr>
                <w:rFonts w:ascii="Times New Roman" w:hAnsi="Times New Roman"/>
                <w:color w:val="000000"/>
                <w:sz w:val="16"/>
                <w:szCs w:val="16"/>
              </w:rPr>
              <w:t>585 000</w:t>
            </w:r>
          </w:p>
        </w:tc>
      </w:tr>
    </w:tbl>
    <w:p w:rsidR="00CD7BA7" w:rsidRDefault="004A1360" w:rsidP="000E4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4A1360">
        <w:rPr>
          <w:rFonts w:ascii="Times New Roman" w:hAnsi="Times New Roman" w:cs="Times New Roman"/>
          <w:b/>
          <w:sz w:val="20"/>
          <w:szCs w:val="20"/>
        </w:rPr>
        <w:t xml:space="preserve">Итого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04473" w:rsidRPr="00DC4A01">
        <w:rPr>
          <w:rFonts w:ascii="Times New Roman" w:hAnsi="Times New Roman"/>
          <w:b/>
          <w:color w:val="000000"/>
          <w:sz w:val="20"/>
          <w:szCs w:val="20"/>
        </w:rPr>
        <w:t>11 060</w:t>
      </w:r>
      <w:r w:rsidR="00335279">
        <w:rPr>
          <w:rFonts w:ascii="Times New Roman" w:hAnsi="Times New Roman"/>
          <w:b/>
          <w:color w:val="000000"/>
          <w:sz w:val="20"/>
          <w:szCs w:val="20"/>
        </w:rPr>
        <w:t> </w:t>
      </w:r>
      <w:r w:rsidR="00304473" w:rsidRPr="00DC4A01">
        <w:rPr>
          <w:rFonts w:ascii="Times New Roman" w:hAnsi="Times New Roman"/>
          <w:b/>
          <w:color w:val="000000"/>
          <w:sz w:val="20"/>
          <w:szCs w:val="20"/>
        </w:rPr>
        <w:t>000</w:t>
      </w:r>
    </w:p>
    <w:p w:rsidR="00335279" w:rsidRDefault="00335279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0A6B7A" w:rsidRDefault="00C2491D" w:rsidP="00CD7B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2.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соответсвии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Главой 6 Постановлением Прави</w:t>
      </w:r>
      <w:r w:rsidR="00D23CBD">
        <w:rPr>
          <w:rFonts w:ascii="Times New Roman" w:hAnsi="Times New Roman" w:cs="Times New Roman"/>
          <w:sz w:val="20"/>
          <w:szCs w:val="20"/>
        </w:rPr>
        <w:t xml:space="preserve">тельства Республики Казахстан от 30 октября 2009 года № 1729 «Об утверждении Правил организации </w:t>
      </w:r>
      <w:r w:rsidR="000942CA">
        <w:rPr>
          <w:rFonts w:ascii="Times New Roman" w:hAnsi="Times New Roman" w:cs="Times New Roman"/>
          <w:sz w:val="20"/>
          <w:szCs w:val="20"/>
        </w:rPr>
        <w:t>и проведен</w:t>
      </w:r>
      <w:r w:rsidR="00791779">
        <w:rPr>
          <w:rFonts w:ascii="Times New Roman" w:hAnsi="Times New Roman" w:cs="Times New Roman"/>
          <w:sz w:val="20"/>
          <w:szCs w:val="20"/>
        </w:rPr>
        <w:t>ия закупа лекарственных средств, профилактических (иммунобиологи</w:t>
      </w:r>
      <w:r w:rsidR="00EE4D6F">
        <w:rPr>
          <w:rFonts w:ascii="Times New Roman" w:hAnsi="Times New Roman" w:cs="Times New Roman"/>
          <w:sz w:val="20"/>
          <w:szCs w:val="20"/>
        </w:rPr>
        <w:t>ческих, диагностических, дезинфи</w:t>
      </w:r>
      <w:r w:rsidR="00791779">
        <w:rPr>
          <w:rFonts w:ascii="Times New Roman" w:hAnsi="Times New Roman" w:cs="Times New Roman"/>
          <w:sz w:val="20"/>
          <w:szCs w:val="20"/>
        </w:rPr>
        <w:t>цирующих)</w:t>
      </w:r>
      <w:r w:rsidR="00EE4D6F">
        <w:rPr>
          <w:rFonts w:ascii="Times New Roman" w:hAnsi="Times New Roman" w:cs="Times New Roman"/>
          <w:sz w:val="20"/>
          <w:szCs w:val="20"/>
        </w:rPr>
        <w:t xml:space="preserve"> препаратов, изделий медицинского назначения и медицинской техники</w:t>
      </w:r>
      <w:r w:rsidR="00103008">
        <w:rPr>
          <w:rFonts w:ascii="Times New Roman" w:hAnsi="Times New Roman" w:cs="Times New Roman"/>
          <w:sz w:val="20"/>
          <w:szCs w:val="20"/>
        </w:rPr>
        <w:t>, фармацевтических услуг по оказанию гарантированного объема бесплатной медицинской помощи</w:t>
      </w:r>
      <w:r w:rsidR="00D23CBD">
        <w:rPr>
          <w:rFonts w:ascii="Times New Roman" w:hAnsi="Times New Roman" w:cs="Times New Roman"/>
          <w:sz w:val="20"/>
          <w:szCs w:val="20"/>
        </w:rPr>
        <w:t>»</w:t>
      </w:r>
      <w:r w:rsidR="000A6B7A">
        <w:rPr>
          <w:rFonts w:ascii="Times New Roman" w:hAnsi="Times New Roman" w:cs="Times New Roman"/>
          <w:sz w:val="20"/>
          <w:szCs w:val="20"/>
        </w:rPr>
        <w:t>.</w:t>
      </w:r>
      <w:r w:rsidR="00103008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="00D5229E">
        <w:rPr>
          <w:rFonts w:ascii="Times New Roman" w:hAnsi="Times New Roman" w:cs="Times New Roman"/>
          <w:sz w:val="20"/>
          <w:szCs w:val="20"/>
        </w:rPr>
        <w:t xml:space="preserve"> принял решение осуществлен</w:t>
      </w:r>
      <w:r w:rsidR="000A6B7A">
        <w:rPr>
          <w:rFonts w:ascii="Times New Roman" w:hAnsi="Times New Roman" w:cs="Times New Roman"/>
          <w:sz w:val="20"/>
          <w:szCs w:val="20"/>
        </w:rPr>
        <w:t>ие закупок способом запроса цен</w:t>
      </w:r>
      <w:r w:rsidR="00D5229E">
        <w:rPr>
          <w:rFonts w:ascii="Times New Roman" w:hAnsi="Times New Roman" w:cs="Times New Roman"/>
          <w:sz w:val="20"/>
          <w:szCs w:val="20"/>
        </w:rPr>
        <w:t>овы</w:t>
      </w:r>
      <w:r w:rsidR="000A6B7A">
        <w:rPr>
          <w:rFonts w:ascii="Times New Roman" w:hAnsi="Times New Roman" w:cs="Times New Roman"/>
          <w:sz w:val="20"/>
          <w:szCs w:val="20"/>
        </w:rPr>
        <w:t>х предложений.</w:t>
      </w:r>
    </w:p>
    <w:p w:rsidR="00EB05B2" w:rsidRDefault="000A6B7A" w:rsidP="00E04ED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Организатор закупок Республиканское государственное предприятие </w:t>
      </w:r>
      <w:r w:rsidR="00B0588B">
        <w:rPr>
          <w:rFonts w:ascii="Times New Roman" w:hAnsi="Times New Roman" w:cs="Times New Roman"/>
          <w:sz w:val="20"/>
          <w:szCs w:val="20"/>
        </w:rPr>
        <w:t>на праве хозяйственного ведения «Казахский национальный меди</w:t>
      </w:r>
      <w:r w:rsidR="00AE62BA">
        <w:rPr>
          <w:rFonts w:ascii="Times New Roman" w:hAnsi="Times New Roman" w:cs="Times New Roman"/>
          <w:sz w:val="20"/>
          <w:szCs w:val="20"/>
        </w:rPr>
        <w:t xml:space="preserve">цинский университет имени </w:t>
      </w:r>
      <w:proofErr w:type="spellStart"/>
      <w:r w:rsidR="00AE62BA">
        <w:rPr>
          <w:rFonts w:ascii="Times New Roman" w:hAnsi="Times New Roman" w:cs="Times New Roman"/>
          <w:sz w:val="20"/>
          <w:szCs w:val="20"/>
        </w:rPr>
        <w:t>С.Д.Асфендиярова</w:t>
      </w:r>
      <w:proofErr w:type="spellEnd"/>
      <w:r w:rsidR="00B0588B">
        <w:rPr>
          <w:rFonts w:ascii="Times New Roman" w:hAnsi="Times New Roman" w:cs="Times New Roman"/>
          <w:sz w:val="20"/>
          <w:szCs w:val="20"/>
        </w:rPr>
        <w:t>»</w:t>
      </w:r>
      <w:r w:rsidR="00AE62BA">
        <w:rPr>
          <w:rFonts w:ascii="Times New Roman" w:hAnsi="Times New Roman" w:cs="Times New Roman"/>
          <w:sz w:val="20"/>
          <w:szCs w:val="20"/>
        </w:rPr>
        <w:t xml:space="preserve"> Министерства здраво</w:t>
      </w:r>
      <w:r w:rsidR="005830F6">
        <w:rPr>
          <w:rFonts w:ascii="Times New Roman" w:hAnsi="Times New Roman" w:cs="Times New Roman"/>
          <w:sz w:val="20"/>
          <w:szCs w:val="20"/>
        </w:rPr>
        <w:t>охранения  Республики Казахстан, находящегося по адресу г. А</w:t>
      </w:r>
      <w:r w:rsidR="00151ABC">
        <w:rPr>
          <w:rFonts w:ascii="Times New Roman" w:hAnsi="Times New Roman" w:cs="Times New Roman"/>
          <w:sz w:val="20"/>
          <w:szCs w:val="20"/>
        </w:rPr>
        <w:t xml:space="preserve">лматы, ул. Толе Би по результатам данных закупок способом запроса ценовых предложений решил закупить товары у поставщика ТОО </w:t>
      </w:r>
      <w:r w:rsidR="00173209" w:rsidRPr="005408B9">
        <w:rPr>
          <w:rFonts w:ascii="Times New Roman" w:hAnsi="Times New Roman" w:cs="Times New Roman"/>
          <w:b/>
          <w:sz w:val="20"/>
          <w:szCs w:val="20"/>
        </w:rPr>
        <w:t>«</w:t>
      </w:r>
      <w:r w:rsidR="00DC4A01" w:rsidRPr="00DC4A01">
        <w:rPr>
          <w:rFonts w:ascii="Times New Roman" w:hAnsi="Times New Roman" w:cs="Times New Roman"/>
          <w:b/>
          <w:sz w:val="20"/>
          <w:szCs w:val="20"/>
          <w:lang w:val="en-US"/>
        </w:rPr>
        <w:t>Dana</w:t>
      </w:r>
      <w:r w:rsidR="00DC4A01" w:rsidRPr="00DC4A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C4A01" w:rsidRPr="00DC4A01">
        <w:rPr>
          <w:rFonts w:ascii="Times New Roman" w:hAnsi="Times New Roman" w:cs="Times New Roman"/>
          <w:b/>
          <w:sz w:val="20"/>
          <w:szCs w:val="20"/>
          <w:lang w:val="en-US"/>
        </w:rPr>
        <w:t>Estrella</w:t>
      </w:r>
      <w:proofErr w:type="spellEnd"/>
      <w:r w:rsidR="00C57C5D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408B9" w:rsidRPr="005408B9">
        <w:rPr>
          <w:color w:val="000000"/>
          <w:sz w:val="16"/>
          <w:szCs w:val="16"/>
          <w:lang w:val="kk-KZ" w:eastAsia="ru-RU"/>
        </w:rPr>
        <w:t xml:space="preserve"> </w:t>
      </w:r>
      <w:proofErr w:type="spellStart"/>
      <w:r w:rsidR="005A505E" w:rsidRPr="005A505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A505E" w:rsidRPr="005A505E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5A505E" w:rsidRPr="005A505E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5A505E" w:rsidRPr="005A50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505E" w:rsidRPr="005A505E">
        <w:rPr>
          <w:rFonts w:ascii="Times New Roman" w:hAnsi="Times New Roman" w:cs="Times New Roman"/>
          <w:sz w:val="20"/>
          <w:szCs w:val="20"/>
        </w:rPr>
        <w:t>ул.Гоголя</w:t>
      </w:r>
      <w:proofErr w:type="spellEnd"/>
      <w:r w:rsidR="005A505E" w:rsidRPr="005A505E">
        <w:rPr>
          <w:rFonts w:ascii="Times New Roman" w:hAnsi="Times New Roman" w:cs="Times New Roman"/>
          <w:sz w:val="20"/>
          <w:szCs w:val="20"/>
        </w:rPr>
        <w:t>, 89А,оф.101</w:t>
      </w:r>
      <w:r w:rsidR="00D42392" w:rsidRPr="005408B9">
        <w:rPr>
          <w:rFonts w:ascii="Times New Roman" w:hAnsi="Times New Roman" w:cs="Times New Roman"/>
          <w:sz w:val="20"/>
          <w:szCs w:val="20"/>
        </w:rPr>
        <w:t>.</w:t>
      </w:r>
      <w:r w:rsidR="00D42392">
        <w:rPr>
          <w:rFonts w:ascii="Times New Roman" w:hAnsi="Times New Roman" w:cs="Times New Roman"/>
          <w:sz w:val="20"/>
          <w:szCs w:val="20"/>
        </w:rPr>
        <w:t xml:space="preserve"> Заключить договор с ТОО «</w:t>
      </w:r>
      <w:r w:rsidR="00DC4A01" w:rsidRPr="00DC4A01">
        <w:rPr>
          <w:rFonts w:ascii="Times New Roman" w:hAnsi="Times New Roman" w:cs="Times New Roman"/>
          <w:b/>
          <w:sz w:val="20"/>
          <w:szCs w:val="20"/>
          <w:lang w:val="en-US"/>
        </w:rPr>
        <w:t>Dana</w:t>
      </w:r>
      <w:r w:rsidR="00DC4A01" w:rsidRPr="00DC4A0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C4A01" w:rsidRPr="00DC4A01">
        <w:rPr>
          <w:rFonts w:ascii="Times New Roman" w:hAnsi="Times New Roman" w:cs="Times New Roman"/>
          <w:b/>
          <w:sz w:val="20"/>
          <w:szCs w:val="20"/>
          <w:lang w:val="en-US"/>
        </w:rPr>
        <w:t>Estrella</w:t>
      </w:r>
      <w:proofErr w:type="spellEnd"/>
      <w:r w:rsidR="00D42392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="005A505E" w:rsidRPr="005A505E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A505E" w:rsidRPr="005A505E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="005A505E" w:rsidRPr="005A505E">
        <w:rPr>
          <w:rFonts w:ascii="Times New Roman" w:hAnsi="Times New Roman" w:cs="Times New Roman"/>
          <w:sz w:val="20"/>
          <w:szCs w:val="20"/>
        </w:rPr>
        <w:t>лматы</w:t>
      </w:r>
      <w:proofErr w:type="spellEnd"/>
      <w:r w:rsidR="005A505E" w:rsidRPr="005A505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505E" w:rsidRPr="005A505E">
        <w:rPr>
          <w:rFonts w:ascii="Times New Roman" w:hAnsi="Times New Roman" w:cs="Times New Roman"/>
          <w:sz w:val="20"/>
          <w:szCs w:val="20"/>
        </w:rPr>
        <w:t>ул.Гоголя</w:t>
      </w:r>
      <w:proofErr w:type="spellEnd"/>
      <w:r w:rsidR="005A505E" w:rsidRPr="005A505E">
        <w:rPr>
          <w:rFonts w:ascii="Times New Roman" w:hAnsi="Times New Roman" w:cs="Times New Roman"/>
          <w:sz w:val="20"/>
          <w:szCs w:val="20"/>
        </w:rPr>
        <w:t>, 89А,оф.101</w:t>
      </w:r>
      <w:r w:rsidR="007A2234">
        <w:rPr>
          <w:rFonts w:ascii="Times New Roman" w:hAnsi="Times New Roman" w:cs="Times New Roman"/>
          <w:sz w:val="20"/>
          <w:szCs w:val="20"/>
        </w:rPr>
        <w:t>.</w:t>
      </w:r>
    </w:p>
    <w:p w:rsidR="000E49C3" w:rsidRDefault="00EB05B2" w:rsidP="00EB0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4ED7">
        <w:rPr>
          <w:rFonts w:ascii="Times New Roman" w:hAnsi="Times New Roman" w:cs="Times New Roman"/>
          <w:sz w:val="20"/>
          <w:szCs w:val="20"/>
        </w:rPr>
        <w:t xml:space="preserve">  </w:t>
      </w:r>
      <w:r w:rsidR="00184DDD" w:rsidRPr="001E33AF">
        <w:rPr>
          <w:rFonts w:ascii="Times New Roman" w:hAnsi="Times New Roman" w:cs="Times New Roman"/>
          <w:sz w:val="20"/>
          <w:szCs w:val="20"/>
        </w:rPr>
        <w:t xml:space="preserve">Сумма договора составляет </w:t>
      </w:r>
      <w:r w:rsidR="00DC4A01" w:rsidRPr="00DC4A01">
        <w:rPr>
          <w:rFonts w:ascii="Times New Roman" w:hAnsi="Times New Roman"/>
          <w:b/>
          <w:color w:val="000000"/>
          <w:sz w:val="20"/>
          <w:szCs w:val="20"/>
        </w:rPr>
        <w:t>11 060 000</w:t>
      </w:r>
      <w:r w:rsidR="00692FF3">
        <w:rPr>
          <w:rFonts w:ascii="Times New Roman" w:hAnsi="Times New Roman"/>
          <w:b/>
          <w:color w:val="000000"/>
          <w:sz w:val="16"/>
          <w:szCs w:val="16"/>
        </w:rPr>
        <w:t xml:space="preserve">  (</w:t>
      </w:r>
      <w:r w:rsidR="00DC4A01">
        <w:rPr>
          <w:rFonts w:ascii="Times New Roman" w:hAnsi="Times New Roman" w:cs="Times New Roman"/>
          <w:b/>
          <w:sz w:val="20"/>
          <w:szCs w:val="20"/>
        </w:rPr>
        <w:t>одиннадцать миллионов шестьдесят</w:t>
      </w:r>
      <w:r w:rsidR="003440DE">
        <w:rPr>
          <w:rFonts w:ascii="Times New Roman" w:hAnsi="Times New Roman" w:cs="Times New Roman"/>
          <w:b/>
          <w:sz w:val="20"/>
          <w:szCs w:val="20"/>
        </w:rPr>
        <w:t xml:space="preserve"> тенге</w:t>
      </w:r>
      <w:r w:rsidR="00692FF3">
        <w:rPr>
          <w:rFonts w:ascii="Times New Roman" w:hAnsi="Times New Roman"/>
          <w:b/>
          <w:color w:val="000000"/>
          <w:sz w:val="16"/>
          <w:szCs w:val="16"/>
        </w:rPr>
        <w:t>)</w:t>
      </w:r>
    </w:p>
    <w:p w:rsidR="008E64B9" w:rsidRDefault="001E33AF" w:rsidP="00692FF3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1E33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8E64B9" w:rsidRDefault="008E64B9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20269F" w:rsidRPr="007A549E" w:rsidRDefault="00D23CBD" w:rsidP="00CB0DFC">
      <w:pPr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D1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0269F" w:rsidRPr="007A549E" w:rsidSect="0033527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7916"/>
    <w:multiLevelType w:val="multilevel"/>
    <w:tmpl w:val="6B4A4E8E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FB"/>
    <w:rsid w:val="00032355"/>
    <w:rsid w:val="00041BFB"/>
    <w:rsid w:val="00050C8F"/>
    <w:rsid w:val="000579CC"/>
    <w:rsid w:val="00082758"/>
    <w:rsid w:val="00085B01"/>
    <w:rsid w:val="000942CA"/>
    <w:rsid w:val="000A6B7A"/>
    <w:rsid w:val="000B0A84"/>
    <w:rsid w:val="000C2D9B"/>
    <w:rsid w:val="000D1251"/>
    <w:rsid w:val="000D5A44"/>
    <w:rsid w:val="000E49C3"/>
    <w:rsid w:val="00103008"/>
    <w:rsid w:val="00151ABC"/>
    <w:rsid w:val="00153B86"/>
    <w:rsid w:val="00173209"/>
    <w:rsid w:val="001816EE"/>
    <w:rsid w:val="001837BC"/>
    <w:rsid w:val="00184DDD"/>
    <w:rsid w:val="001B1C3A"/>
    <w:rsid w:val="001E33AF"/>
    <w:rsid w:val="0020269F"/>
    <w:rsid w:val="002E2F31"/>
    <w:rsid w:val="003038A1"/>
    <w:rsid w:val="00304473"/>
    <w:rsid w:val="003052FB"/>
    <w:rsid w:val="0033110F"/>
    <w:rsid w:val="00331A49"/>
    <w:rsid w:val="00335279"/>
    <w:rsid w:val="003440DE"/>
    <w:rsid w:val="00364196"/>
    <w:rsid w:val="0038546F"/>
    <w:rsid w:val="003B31B3"/>
    <w:rsid w:val="003D1EF6"/>
    <w:rsid w:val="00454D66"/>
    <w:rsid w:val="004735C2"/>
    <w:rsid w:val="004A1360"/>
    <w:rsid w:val="00502B3B"/>
    <w:rsid w:val="005408B9"/>
    <w:rsid w:val="005830F6"/>
    <w:rsid w:val="005A505E"/>
    <w:rsid w:val="005B33D9"/>
    <w:rsid w:val="005B5C30"/>
    <w:rsid w:val="005D01DC"/>
    <w:rsid w:val="006025CC"/>
    <w:rsid w:val="00636D9D"/>
    <w:rsid w:val="00653355"/>
    <w:rsid w:val="0068073B"/>
    <w:rsid w:val="00691E3B"/>
    <w:rsid w:val="00692FF3"/>
    <w:rsid w:val="006B5FB0"/>
    <w:rsid w:val="00740169"/>
    <w:rsid w:val="00761CE8"/>
    <w:rsid w:val="007622A5"/>
    <w:rsid w:val="00791779"/>
    <w:rsid w:val="00795983"/>
    <w:rsid w:val="007A2234"/>
    <w:rsid w:val="007A549E"/>
    <w:rsid w:val="007D14C1"/>
    <w:rsid w:val="008145D4"/>
    <w:rsid w:val="008B0EE1"/>
    <w:rsid w:val="008E64B9"/>
    <w:rsid w:val="00902B1F"/>
    <w:rsid w:val="00937C25"/>
    <w:rsid w:val="00A17504"/>
    <w:rsid w:val="00A354B3"/>
    <w:rsid w:val="00A74303"/>
    <w:rsid w:val="00A94C4D"/>
    <w:rsid w:val="00A975AC"/>
    <w:rsid w:val="00AA5C8D"/>
    <w:rsid w:val="00AA743E"/>
    <w:rsid w:val="00AE62BA"/>
    <w:rsid w:val="00B0588B"/>
    <w:rsid w:val="00B33EAB"/>
    <w:rsid w:val="00B94D7E"/>
    <w:rsid w:val="00BA71AA"/>
    <w:rsid w:val="00BC09EF"/>
    <w:rsid w:val="00BD7E32"/>
    <w:rsid w:val="00C16B0C"/>
    <w:rsid w:val="00C2491D"/>
    <w:rsid w:val="00C27088"/>
    <w:rsid w:val="00C340D1"/>
    <w:rsid w:val="00C501EE"/>
    <w:rsid w:val="00C57C5D"/>
    <w:rsid w:val="00CB0DFC"/>
    <w:rsid w:val="00CD65CF"/>
    <w:rsid w:val="00CD7BA7"/>
    <w:rsid w:val="00CF31F0"/>
    <w:rsid w:val="00D23CBD"/>
    <w:rsid w:val="00D42392"/>
    <w:rsid w:val="00D5229E"/>
    <w:rsid w:val="00DB7A87"/>
    <w:rsid w:val="00DC4A01"/>
    <w:rsid w:val="00DD4BDB"/>
    <w:rsid w:val="00E04ED7"/>
    <w:rsid w:val="00E32EB6"/>
    <w:rsid w:val="00E95287"/>
    <w:rsid w:val="00EA005B"/>
    <w:rsid w:val="00EA6786"/>
    <w:rsid w:val="00EB05B2"/>
    <w:rsid w:val="00EE4D6F"/>
    <w:rsid w:val="00F2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25CC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link w:val="1"/>
    <w:uiPriority w:val="99"/>
    <w:qFormat/>
    <w:rsid w:val="00C5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бычный (веб) Знак1"/>
    <w:aliases w:val="Обычный (веб) Знак Знак"/>
    <w:link w:val="a3"/>
    <w:rsid w:val="00C501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025CC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2017-02-24T04:09:00Z</dcterms:created>
  <dcterms:modified xsi:type="dcterms:W3CDTF">2017-04-27T05:02:00Z</dcterms:modified>
</cp:coreProperties>
</file>