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3" w:rsidRDefault="00A45AA3" w:rsidP="00A45AA3">
      <w:pPr>
        <w:pStyle w:val="a3"/>
        <w:widowControl w:val="0"/>
        <w:jc w:val="center"/>
        <w:rPr>
          <w:b/>
        </w:rPr>
      </w:pPr>
      <w:r>
        <w:rPr>
          <w:b/>
        </w:rPr>
        <w:t xml:space="preserve">Современная диагностика непереносимости </w:t>
      </w:r>
    </w:p>
    <w:p w:rsidR="00A45AA3" w:rsidRDefault="00A45AA3" w:rsidP="00A45AA3">
      <w:pPr>
        <w:pStyle w:val="a3"/>
        <w:widowControl w:val="0"/>
        <w:jc w:val="center"/>
        <w:rPr>
          <w:b/>
        </w:rPr>
      </w:pPr>
      <w:r>
        <w:rPr>
          <w:b/>
        </w:rPr>
        <w:t>к металлическим включениям в полости рта</w:t>
      </w:r>
    </w:p>
    <w:p w:rsidR="00A45AA3" w:rsidRDefault="00A45AA3" w:rsidP="00A45AA3">
      <w:pPr>
        <w:pStyle w:val="a3"/>
        <w:widowControl w:val="0"/>
        <w:jc w:val="center"/>
        <w:rPr>
          <w:b/>
        </w:rPr>
      </w:pPr>
    </w:p>
    <w:p w:rsidR="00A45AA3" w:rsidRDefault="00A45AA3" w:rsidP="00A45AA3">
      <w:pPr>
        <w:pStyle w:val="a3"/>
        <w:widowControl w:val="0"/>
        <w:jc w:val="center"/>
        <w:rPr>
          <w:b/>
        </w:rPr>
      </w:pPr>
      <w:proofErr w:type="spellStart"/>
      <w:r>
        <w:rPr>
          <w:b/>
        </w:rPr>
        <w:t>Рузуддинов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С.Р.,Тебенова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Г.М.,Каркабаева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К.О.,Шаяхметова</w:t>
      </w:r>
      <w:proofErr w:type="spellEnd"/>
      <w:r>
        <w:rPr>
          <w:b/>
        </w:rPr>
        <w:t xml:space="preserve"> М.К.</w:t>
      </w:r>
    </w:p>
    <w:p w:rsidR="008C198D" w:rsidRDefault="008C198D" w:rsidP="008C198D">
      <w:pPr>
        <w:widowControl w:val="0"/>
        <w:ind w:firstLine="397"/>
        <w:jc w:val="both"/>
        <w:rPr>
          <w:sz w:val="28"/>
          <w:lang w:eastAsia="ko-KR"/>
        </w:rPr>
      </w:pPr>
      <w:r>
        <w:rPr>
          <w:sz w:val="28"/>
          <w:lang w:eastAsia="ko-KR"/>
        </w:rPr>
        <w:t>Проблема сохранения целостности зубных рядов, а также их возмещение при наличии в них дефектов путём протезирования существует в течение мн</w:t>
      </w:r>
      <w:r>
        <w:rPr>
          <w:sz w:val="28"/>
          <w:lang w:eastAsia="ko-KR"/>
        </w:rPr>
        <w:t>о</w:t>
      </w:r>
      <w:r>
        <w:rPr>
          <w:sz w:val="28"/>
          <w:lang w:eastAsia="ko-KR"/>
        </w:rPr>
        <w:t>гих лет. До сих пор ещё не создан универсальный метод, согласно которому можно было бы провести раннюю диагностику профилактики биоэлектрич</w:t>
      </w:r>
      <w:r>
        <w:rPr>
          <w:sz w:val="28"/>
          <w:lang w:eastAsia="ko-KR"/>
        </w:rPr>
        <w:t>е</w:t>
      </w:r>
      <w:r>
        <w:rPr>
          <w:sz w:val="28"/>
          <w:lang w:eastAsia="ko-KR"/>
        </w:rPr>
        <w:t>ских и гальванических процессов на слизистой оболочке полости рта и между различными металлическими протезами соответственно. Кроме того, не на</w:t>
      </w:r>
      <w:r>
        <w:rPr>
          <w:sz w:val="28"/>
          <w:lang w:eastAsia="ko-KR"/>
        </w:rPr>
        <w:t>й</w:t>
      </w:r>
      <w:r>
        <w:rPr>
          <w:sz w:val="28"/>
          <w:lang w:eastAsia="ko-KR"/>
        </w:rPr>
        <w:t>ден материал для протезирования, удовлетворяющий всем требованиям их индифферентности по отнош</w:t>
      </w:r>
      <w:r>
        <w:rPr>
          <w:sz w:val="28"/>
          <w:lang w:eastAsia="ko-KR"/>
        </w:rPr>
        <w:t>е</w:t>
      </w:r>
      <w:r>
        <w:rPr>
          <w:sz w:val="28"/>
          <w:lang w:eastAsia="ko-KR"/>
        </w:rPr>
        <w:t>нию к слюне /161/.</w:t>
      </w:r>
    </w:p>
    <w:p w:rsidR="009C2F0B" w:rsidRDefault="009C2F0B" w:rsidP="009C2F0B">
      <w:pPr>
        <w:pStyle w:val="a3"/>
        <w:widowControl w:val="0"/>
        <w:ind w:firstLine="397"/>
        <w:jc w:val="both"/>
      </w:pPr>
      <w:r>
        <w:t>Продуктами электрохимических реакций являются ионы металлов, пост</w:t>
      </w:r>
      <w:r>
        <w:t>у</w:t>
      </w:r>
      <w:r>
        <w:t xml:space="preserve">пающие в смешанную слюну из </w:t>
      </w:r>
      <w:proofErr w:type="spellStart"/>
      <w:r>
        <w:t>корродирующих</w:t>
      </w:r>
      <w:proofErr w:type="spellEnd"/>
      <w:r>
        <w:t xml:space="preserve"> сплавов. Динамика измен</w:t>
      </w:r>
      <w:r>
        <w:t>е</w:t>
      </w:r>
      <w:r>
        <w:t>ния микроэлементного состава смешанной слюны находится в прямой зав</w:t>
      </w:r>
      <w:r>
        <w:t>и</w:t>
      </w:r>
      <w:r>
        <w:t>симости от степени электрохимических процессов в полости рта. Высокие концентрации микроэлементов установлены в слюне лиц с аллергическими и токсическими стоматитами, вызванными протезами из нержавеющей стали, по сравнению с нормой /166/. Наиболее выраженные колебания обнаружены в содержании железа, никеля, меди, серебра, хрома, титана.</w:t>
      </w:r>
    </w:p>
    <w:p w:rsidR="009C2F0B" w:rsidRDefault="009C2F0B" w:rsidP="009C2F0B">
      <w:pPr>
        <w:pStyle w:val="a3"/>
        <w:widowControl w:val="0"/>
        <w:ind w:firstLine="397"/>
        <w:jc w:val="both"/>
      </w:pPr>
      <w:r>
        <w:t>Таким образом, наиболее объективным методом оценки степени электр</w:t>
      </w:r>
      <w:r>
        <w:t>о</w:t>
      </w:r>
      <w:r>
        <w:t>химической коррозии является метод обнаружения ее продуктов. Другие те</w:t>
      </w:r>
      <w:r>
        <w:t>с</w:t>
      </w:r>
      <w:r>
        <w:t>ты, направленные на выявление величины электрического тока в полости рта, ЭДС или электродного потенциала, до настоящего времени прямой пропо</w:t>
      </w:r>
      <w:r>
        <w:t>р</w:t>
      </w:r>
      <w:r>
        <w:t>циональной зависимости от степени тяжести патологического процесса в п</w:t>
      </w:r>
      <w:r>
        <w:t>о</w:t>
      </w:r>
      <w:r>
        <w:t>лости рта не давали.</w:t>
      </w:r>
    </w:p>
    <w:p w:rsidR="009C2F0B" w:rsidRDefault="009C2F0B" w:rsidP="009C2F0B">
      <w:pPr>
        <w:pStyle w:val="a3"/>
        <w:widowControl w:val="0"/>
        <w:ind w:firstLine="397"/>
        <w:jc w:val="both"/>
      </w:pPr>
      <w:r>
        <w:t>Специальные исследования на токсичность, на аллергическую прир</w:t>
      </w:r>
      <w:r>
        <w:t>о</w:t>
      </w:r>
      <w:r>
        <w:t>ду выделенных из протезов ионов металлов являются специфи</w:t>
      </w:r>
      <w:r>
        <w:t>ч</w:t>
      </w:r>
      <w:r>
        <w:t>ными, требуют специальной аппаратуры, методически сложны в проведении. Из-за этого они не получили широкого применения.</w:t>
      </w:r>
    </w:p>
    <w:p w:rsidR="009C2F0B" w:rsidRDefault="009C2F0B" w:rsidP="009C2F0B">
      <w:pPr>
        <w:pStyle w:val="a3"/>
        <w:widowControl w:val="0"/>
        <w:ind w:firstLine="397"/>
        <w:jc w:val="both"/>
      </w:pPr>
      <w:r>
        <w:t>Для практического врача, работающего у кресла с пациентом, необходимо иметь в своем арсенале простое доступное средство или методики, использование которых могло бы дать врачу ответы на интересующие его в</w:t>
      </w:r>
      <w:r>
        <w:t>о</w:t>
      </w:r>
      <w:r>
        <w:t>просы.</w:t>
      </w:r>
    </w:p>
    <w:p w:rsidR="009C2F0B" w:rsidRDefault="009C2F0B" w:rsidP="009C2F0B">
      <w:pPr>
        <w:pStyle w:val="a3"/>
        <w:widowControl w:val="0"/>
        <w:ind w:firstLine="397"/>
        <w:jc w:val="both"/>
      </w:pPr>
      <w:r>
        <w:t>Таким методом могла бы служить методика, которая позволяет изолир</w:t>
      </w:r>
      <w:r>
        <w:t>о</w:t>
      </w:r>
      <w:r>
        <w:t>вать имеющиеся в полости рта протезы от окружающей среды, то есть от слюны. В этом случае как бы приостанавливается коррозионный процесс, прекращ</w:t>
      </w:r>
      <w:r>
        <w:t>а</w:t>
      </w:r>
      <w:r>
        <w:t xml:space="preserve">ется поступление ионов металлов в полость рта. </w:t>
      </w:r>
    </w:p>
    <w:p w:rsidR="009C2F0B" w:rsidRDefault="0016626B" w:rsidP="009C2F0B">
      <w:pPr>
        <w:pStyle w:val="a3"/>
        <w:widowControl w:val="0"/>
        <w:ind w:firstLine="397"/>
        <w:jc w:val="both"/>
      </w:pPr>
      <w:r>
        <w:t>Нами разработана</w:t>
      </w:r>
      <w:r w:rsidR="009C2F0B">
        <w:t xml:space="preserve"> композици</w:t>
      </w:r>
      <w:r>
        <w:t>я</w:t>
      </w:r>
      <w:r w:rsidR="009C2F0B">
        <w:t xml:space="preserve"> для изоляции зубных протезов в полости рта у пациентов от воздействия слюны. Для этого наиболее оптимальной оказалась жидкотекучая масса, которая обеспечивает поступление в самые труднодоступные места. Во-вторых, эта масса  легко наноси</w:t>
      </w:r>
      <w:r>
        <w:t>тся</w:t>
      </w:r>
      <w:proofErr w:type="gramStart"/>
      <w:r>
        <w:t>.</w:t>
      </w:r>
      <w:proofErr w:type="gramEnd"/>
      <w:r w:rsidR="009C2F0B">
        <w:t xml:space="preserve"> В-третьих, масса своевременно засты</w:t>
      </w:r>
      <w:r>
        <w:t>вает</w:t>
      </w:r>
      <w:r w:rsidR="009C2F0B">
        <w:t xml:space="preserve"> и с</w:t>
      </w:r>
      <w:r w:rsidR="009C2F0B">
        <w:t>о</w:t>
      </w:r>
      <w:r w:rsidR="009C2F0B">
        <w:t>храня</w:t>
      </w:r>
      <w:r>
        <w:t>е</w:t>
      </w:r>
      <w:r w:rsidR="009C2F0B">
        <w:t>т свои свойства в течение 2-3 дней. И самое главное, эти матер</w:t>
      </w:r>
      <w:r>
        <w:t xml:space="preserve">иалы </w:t>
      </w:r>
      <w:r w:rsidR="009C2F0B">
        <w:t xml:space="preserve"> абсолютно безвредны для органи</w:t>
      </w:r>
      <w:r w:rsidR="009C2F0B">
        <w:t>з</w:t>
      </w:r>
      <w:r w:rsidR="009C2F0B">
        <w:t>ма.</w:t>
      </w:r>
    </w:p>
    <w:p w:rsidR="00A45AA3" w:rsidRDefault="009C2F0B" w:rsidP="0016626B">
      <w:pPr>
        <w:pStyle w:val="a3"/>
        <w:widowControl w:val="0"/>
        <w:ind w:firstLine="397"/>
        <w:jc w:val="both"/>
        <w:rPr>
          <w:b/>
        </w:rPr>
      </w:pPr>
      <w:r>
        <w:t>Таким требованиям отвечают полимерные органические пленки, которые образуют жидкую фазу с этиловым спиртом.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lastRenderedPageBreak/>
        <w:t>При обследовании и лечении больных с жалобами на непереносимость к металлическим зубным протезам в клинике  ортопедической стоматологии  было проведено исследование метода изоляции повер</w:t>
      </w:r>
      <w:r>
        <w:t>х</w:t>
      </w:r>
      <w:r>
        <w:t>ности зубных протезов</w:t>
      </w:r>
      <w:r w:rsidR="0016626B">
        <w:t>:</w:t>
      </w:r>
    </w:p>
    <w:p w:rsidR="00A45AA3" w:rsidRDefault="00A45AA3" w:rsidP="0016626B">
      <w:pPr>
        <w:pStyle w:val="a3"/>
        <w:widowControl w:val="0"/>
        <w:jc w:val="both"/>
      </w:pPr>
      <w:r>
        <w:t>у 20 пациентов с диагнозом – непереносимость к металлическим включениям в полости рта. Во</w:t>
      </w:r>
      <w:r>
        <w:t>з</w:t>
      </w:r>
      <w:r>
        <w:t>раст обследованных от 35 до 64 лет, из них мужчин – 3, женщин – 17. Непер</w:t>
      </w:r>
      <w:r>
        <w:t>е</w:t>
      </w:r>
      <w:r>
        <w:t xml:space="preserve">носимость к нержавеющей стали выявлена у 6 пациентов, к нержавеющей стали с </w:t>
      </w:r>
      <w:proofErr w:type="spellStart"/>
      <w:proofErr w:type="gramStart"/>
      <w:r>
        <w:t>нитрид-титановым</w:t>
      </w:r>
      <w:proofErr w:type="spellEnd"/>
      <w:proofErr w:type="gramEnd"/>
      <w:r>
        <w:t xml:space="preserve"> покрытием – у 3 больных, к сплавам золота – у 2 пациентов, к сплавам золота и нержавеющей стали с </w:t>
      </w:r>
      <w:proofErr w:type="spellStart"/>
      <w:r>
        <w:t>нитрид-титановым</w:t>
      </w:r>
      <w:proofErr w:type="spellEnd"/>
      <w:r>
        <w:t xml:space="preserve"> п</w:t>
      </w:r>
      <w:r>
        <w:t>о</w:t>
      </w:r>
      <w:r>
        <w:t>крытием – у 9 больных.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Наряду с различными инструментальными методами диагностики пре</w:t>
      </w:r>
      <w:r>
        <w:t>д</w:t>
      </w:r>
      <w:r>
        <w:t xml:space="preserve">расположенности пациентов к непереносимости металлических конструкций в полости рта, такими, как потенциометрия и </w:t>
      </w:r>
      <w:proofErr w:type="spellStart"/>
      <w:r>
        <w:t>рН-метрия</w:t>
      </w:r>
      <w:proofErr w:type="spellEnd"/>
      <w:r>
        <w:t xml:space="preserve"> смешанной слюны, и</w:t>
      </w:r>
      <w:r>
        <w:t>з</w:t>
      </w:r>
      <w:r>
        <w:t xml:space="preserve">мерение содержания в слюне различных компонентов, </w:t>
      </w:r>
      <w:proofErr w:type="gramStart"/>
      <w:r>
        <w:t>важное значение</w:t>
      </w:r>
      <w:proofErr w:type="gramEnd"/>
      <w:r>
        <w:t xml:space="preserve"> имеет тщательный анализ анамнеза пациента. При исследовании причин во</w:t>
      </w:r>
      <w:r>
        <w:t>з</w:t>
      </w:r>
      <w:r>
        <w:t xml:space="preserve">никновения </w:t>
      </w:r>
      <w:proofErr w:type="spellStart"/>
      <w:r>
        <w:t>гальванозов</w:t>
      </w:r>
      <w:proofErr w:type="spellEnd"/>
      <w:r>
        <w:t xml:space="preserve"> в полости рта было установлено, что они возникают в основном на фоне нервно-психических заболеваний (от 40 до 82% случаев), различных соматических заболеваний (от 10 до 28% случаев), среди которых патологии желудочно-кишечного тракта составляют пода</w:t>
      </w:r>
      <w:r>
        <w:t>в</w:t>
      </w:r>
      <w:r>
        <w:t>ляющее большинство, и аллергической предрасположенности (от 3 до 14 % случаев).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Для клинического обследования отбирались пациенты с ярко выраженн</w:t>
      </w:r>
      <w:r>
        <w:t>ы</w:t>
      </w:r>
      <w:r>
        <w:t>ми симптомами непереносимости к металлическим включениям в полости рта.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 xml:space="preserve">Так, клинически непереносимость к металлам в полости рта проявлялась жжением языка у 3 пациентов, </w:t>
      </w:r>
      <w:proofErr w:type="spellStart"/>
      <w:r>
        <w:t>гиперсаливацией</w:t>
      </w:r>
      <w:proofErr w:type="spellEnd"/>
      <w:r>
        <w:t xml:space="preserve"> – у 4 больных, ксеростомией – у 3 пациентов. Жалобы на металлический и кислый привкус во рту были у 9 пациентов, из них у четверых он возникал периодически, а у пяти – постоя</w:t>
      </w:r>
      <w:r>
        <w:t>н</w:t>
      </w:r>
      <w:r>
        <w:t>но, на извращение вкуса жаловались 6 пациентов, на нарушение сна – 2 пац</w:t>
      </w:r>
      <w:r>
        <w:t>и</w:t>
      </w:r>
      <w:r>
        <w:t>ента.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При анализе общей заболеваемости было выявлено, что у 13 пациентов имелись заболевания желудочно-кишечного тракта, из них трое пациентов связывают их появление с протезированием. Аллергическая реакция на ювелирные украшения отмечалась у одной пациентки. Срок пользования прот</w:t>
      </w:r>
      <w:r>
        <w:t>е</w:t>
      </w:r>
      <w:r>
        <w:t>зами варьировался от 1 месяца до 6 лет, зависимости частоты и вида жалоб от срока пол</w:t>
      </w:r>
      <w:r>
        <w:t>ь</w:t>
      </w:r>
      <w:r>
        <w:t>зования протезами не наблюдалось.</w:t>
      </w:r>
    </w:p>
    <w:p w:rsidR="00A45AA3" w:rsidRDefault="00A45AA3" w:rsidP="00A45AA3">
      <w:pPr>
        <w:pStyle w:val="a3"/>
        <w:ind w:firstLine="397"/>
        <w:jc w:val="both"/>
      </w:pPr>
      <w:proofErr w:type="gramStart"/>
      <w:r>
        <w:t>Изоляция протеза полимерной пленкой проводилась по следующей мет</w:t>
      </w:r>
      <w:r>
        <w:t>о</w:t>
      </w:r>
      <w:r>
        <w:t>дике: полость рта обрабатывалась раствором перманганата калия, снимался налет и зубной камень с зубного протеза, полость рта обкладывалась ватными валиками, зубной протез в полости рта обрабатывали этиловым спиртом для удаления с поверхности протеза слюны, на поверхность протеза наносили ватным тампоном полимерный гель с последующим высушиванием два раза.</w:t>
      </w:r>
      <w:proofErr w:type="gramEnd"/>
      <w:r>
        <w:t xml:space="preserve"> Пациенту давались рекомендации по исключению из рациона питания жес</w:t>
      </w:r>
      <w:r>
        <w:t>т</w:t>
      </w:r>
      <w:r>
        <w:t>кой пищи, горячих, газированных и спиртных напитков. Снятие полимерной пленки производилось тампоном, смоченным этиловым спи</w:t>
      </w:r>
      <w:r>
        <w:t>р</w:t>
      </w:r>
      <w:r>
        <w:t>том.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При проведении диагностического теста у 20 пациентов с помощью пре</w:t>
      </w:r>
      <w:r>
        <w:t>д</w:t>
      </w:r>
      <w:r>
        <w:t xml:space="preserve">ложенного нами метода диагностики положительный результат был </w:t>
      </w:r>
      <w:r>
        <w:lastRenderedPageBreak/>
        <w:t>получен в 85% случаев, что выражалось уменьшением вышеперечисленных жалоб, а в некоторых случаях полным их исчезновением. Исчезли жалобы на металлич</w:t>
      </w:r>
      <w:r>
        <w:t>е</w:t>
      </w:r>
      <w:r>
        <w:t xml:space="preserve">ский и кислый привкус у 9 пациентов (45%). Уменьшилась </w:t>
      </w:r>
      <w:proofErr w:type="spellStart"/>
      <w:r>
        <w:t>гиперсаливация</w:t>
      </w:r>
      <w:proofErr w:type="spellEnd"/>
      <w:r>
        <w:t>, жжение яз</w:t>
      </w:r>
      <w:r>
        <w:t>ы</w:t>
      </w:r>
      <w:r>
        <w:t>ка у 3 пациентов (15%).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Для оценки клинической эффективности полимерного покрытия нами пр</w:t>
      </w:r>
      <w:r>
        <w:t>о</w:t>
      </w:r>
      <w:r>
        <w:t xml:space="preserve">водилось определение значений </w:t>
      </w:r>
      <w:proofErr w:type="spellStart"/>
      <w:r>
        <w:t>рН</w:t>
      </w:r>
      <w:proofErr w:type="spellEnd"/>
      <w:r>
        <w:t>, электропроводимости и микроэлементн</w:t>
      </w:r>
      <w:r>
        <w:t>о</w:t>
      </w:r>
      <w:r>
        <w:t>го состава слюны методом атомно-абсорбционной спектроскопии  до и после покрытия протезов полимерной пленкой. Результаты приведены в та</w:t>
      </w:r>
      <w:r>
        <w:t>б</w:t>
      </w:r>
      <w:r>
        <w:t>лице 1.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 xml:space="preserve">Показатели </w:t>
      </w:r>
      <w:proofErr w:type="spellStart"/>
      <w:r>
        <w:t>рН</w:t>
      </w:r>
      <w:proofErr w:type="spellEnd"/>
      <w:r>
        <w:t xml:space="preserve"> практически не отличаются в смешанной слюне у пацие</w:t>
      </w:r>
      <w:r>
        <w:t>н</w:t>
      </w:r>
      <w:r>
        <w:t xml:space="preserve">тов с </w:t>
      </w:r>
      <w:proofErr w:type="spellStart"/>
      <w:r>
        <w:t>интактным</w:t>
      </w:r>
      <w:proofErr w:type="spellEnd"/>
      <w:r>
        <w:t xml:space="preserve"> зубным рядом и у пациентов с непереносимостью до и после покрытия протезов полимерным пленочным покрытием (</w:t>
      </w:r>
      <w:proofErr w:type="gramStart"/>
      <w:r>
        <w:t>Р</w:t>
      </w:r>
      <w:proofErr w:type="gramEnd"/>
      <w:r>
        <w:t>&gt;0,2). Анализ да</w:t>
      </w:r>
      <w:r>
        <w:t>н</w:t>
      </w:r>
      <w:r>
        <w:t>ных по электропроводимости слюны показал значительное ее уменьшение, почти в два раза, у пациентов с непереносимостью после покрытия протезов полимерным пленочным покрытием по сравнению с лицами, у которых не проводилось покрытие протезов (</w:t>
      </w:r>
      <w:proofErr w:type="gramStart"/>
      <w:r>
        <w:t>Р</w:t>
      </w:r>
      <w:proofErr w:type="gramEnd"/>
      <w:r>
        <w:t>&lt;0,001). У больных, которым не провод</w:t>
      </w:r>
      <w:r>
        <w:t>и</w:t>
      </w:r>
      <w:r>
        <w:t xml:space="preserve">лось покрытие протезов, значительно увеличена электропроводимость по сравнению с лицами, имеющими </w:t>
      </w:r>
      <w:proofErr w:type="spellStart"/>
      <w:r>
        <w:t>интактный</w:t>
      </w:r>
      <w:proofErr w:type="spellEnd"/>
      <w:r>
        <w:t xml:space="preserve"> зубной ряд и здоровую слиз</w:t>
      </w:r>
      <w:r>
        <w:t>и</w:t>
      </w:r>
      <w:r>
        <w:t>стую оболочку (</w:t>
      </w:r>
      <w:proofErr w:type="gramStart"/>
      <w:r>
        <w:t>Р</w:t>
      </w:r>
      <w:proofErr w:type="gramEnd"/>
      <w:r>
        <w:t xml:space="preserve">&lt;0,05). Сравнение данных лиц с </w:t>
      </w:r>
      <w:proofErr w:type="spellStart"/>
      <w:r>
        <w:t>интактным</w:t>
      </w:r>
      <w:proofErr w:type="spellEnd"/>
      <w:r>
        <w:t xml:space="preserve"> зубным рядом с данными больных, у которых проводилось покрытие полимерной пленкой, существенной разницы не в</w:t>
      </w:r>
      <w:r>
        <w:t>ы</w:t>
      </w:r>
      <w:r>
        <w:t>явило (</w:t>
      </w:r>
      <w:proofErr w:type="gramStart"/>
      <w:r>
        <w:t>Р</w:t>
      </w:r>
      <w:proofErr w:type="gramEnd"/>
      <w:r>
        <w:t>&gt;0,5).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Результаты исследований атомно-абсорбционным методом показали, что содержание железа после покрытия протезов полимерной пленкой уменьш</w:t>
      </w:r>
      <w:r>
        <w:t>и</w:t>
      </w:r>
      <w:r>
        <w:t>лось в 3,5 раза (</w:t>
      </w:r>
      <w:proofErr w:type="gramStart"/>
      <w:r>
        <w:t>Р</w:t>
      </w:r>
      <w:proofErr w:type="gramEnd"/>
      <w:r>
        <w:t xml:space="preserve">&lt;0,01), содержание никеля уменьшилось в 13 раз (Р&lt;0,01), содержание цинка уменьшилось в 2,9 раза (Р&lt;0,001), содержание меди уменьшилось в два раза (Р&gt;0,1). При сравнении данных лиц с </w:t>
      </w:r>
      <w:proofErr w:type="spellStart"/>
      <w:r>
        <w:t>интактным</w:t>
      </w:r>
      <w:proofErr w:type="spellEnd"/>
      <w:r>
        <w:t xml:space="preserve"> зу</w:t>
      </w:r>
      <w:r>
        <w:t>б</w:t>
      </w:r>
      <w:r>
        <w:t>ным рядом и здоровой слизистой оболочкой и больных, у которых протезы покрыты полимерной пленкой, выявлено, что содержание меди, цинка пра</w:t>
      </w:r>
      <w:r>
        <w:t>к</w:t>
      </w:r>
      <w:r>
        <w:t>тически не отличаются (</w:t>
      </w:r>
      <w:proofErr w:type="gramStart"/>
      <w:r>
        <w:t>Р</w:t>
      </w:r>
      <w:proofErr w:type="gramEnd"/>
      <w:r>
        <w:t>&gt;0,5), содержание железа увеличено, а никеля уменьшено у лиц с пленочным покрытием, это статистически незначимо (Р&gt;0,5 - Р&gt;0,2). У лиц, имеющих  зубные  протезы  без  пленочного  покр</w:t>
      </w:r>
      <w:r>
        <w:t>ы</w:t>
      </w:r>
      <w:r>
        <w:t>тия,</w:t>
      </w:r>
    </w:p>
    <w:p w:rsidR="00A45AA3" w:rsidRDefault="00A45AA3" w:rsidP="00A45AA3">
      <w:pPr>
        <w:pStyle w:val="a3"/>
        <w:widowControl w:val="0"/>
        <w:jc w:val="both"/>
      </w:pPr>
      <w:r>
        <w:br w:type="page"/>
      </w:r>
      <w:r>
        <w:lastRenderedPageBreak/>
        <w:t>Таблица 1</w:t>
      </w:r>
    </w:p>
    <w:p w:rsidR="00A45AA3" w:rsidRDefault="00A45AA3" w:rsidP="00A45AA3">
      <w:pPr>
        <w:pStyle w:val="a3"/>
        <w:widowControl w:val="0"/>
        <w:jc w:val="center"/>
      </w:pPr>
      <w:r>
        <w:t xml:space="preserve">Значения </w:t>
      </w:r>
      <w:proofErr w:type="spellStart"/>
      <w:r>
        <w:t>рН</w:t>
      </w:r>
      <w:proofErr w:type="spellEnd"/>
      <w:r>
        <w:t xml:space="preserve"> и электропроводимости и содержание микроэлементов в смешанной слюне у пациентов с непереносимостью до и после покрытия протезов полимерными плёночными п</w:t>
      </w:r>
      <w:r>
        <w:t>о</w:t>
      </w:r>
      <w:r>
        <w:t>крытиями из ПМВП-ПВС</w:t>
      </w:r>
    </w:p>
    <w:p w:rsidR="00A45AA3" w:rsidRDefault="00A45AA3" w:rsidP="00A45AA3">
      <w:pPr>
        <w:pStyle w:val="a3"/>
        <w:widowControl w:val="0"/>
        <w:jc w:val="center"/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134"/>
        <w:gridCol w:w="1985"/>
        <w:gridCol w:w="1134"/>
        <w:gridCol w:w="1134"/>
        <w:gridCol w:w="1134"/>
        <w:gridCol w:w="1134"/>
      </w:tblGrid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04" w:type="dxa"/>
            <w:vMerge w:val="restart"/>
            <w:vAlign w:val="center"/>
          </w:tcPr>
          <w:p w:rsidR="00A45AA3" w:rsidRDefault="00A45AA3" w:rsidP="0054278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Смешанная слюна</w:t>
            </w:r>
          </w:p>
        </w:tc>
        <w:tc>
          <w:tcPr>
            <w:tcW w:w="1134" w:type="dxa"/>
            <w:vMerge w:val="restart"/>
            <w:vAlign w:val="center"/>
          </w:tcPr>
          <w:p w:rsidR="00A45AA3" w:rsidRDefault="00A45AA3" w:rsidP="00542788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рН</w:t>
            </w:r>
            <w:proofErr w:type="spellEnd"/>
            <w:r>
              <w:rPr>
                <w:sz w:val="28"/>
              </w:rPr>
              <w:t>,</w:t>
            </w:r>
          </w:p>
          <w:p w:rsidR="00A45AA3" w:rsidRDefault="00A45AA3" w:rsidP="0054278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 w:eastAsia="ko-KR"/>
              </w:rPr>
              <w:t>M</w:t>
            </w:r>
            <w:r>
              <w:rPr>
                <w:sz w:val="28"/>
                <w:lang w:eastAsia="ko-KR"/>
              </w:rPr>
              <w:t xml:space="preserve"> 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eastAsia="ko-KR"/>
              </w:rPr>
              <w:t xml:space="preserve"> </w:t>
            </w:r>
            <w:r>
              <w:rPr>
                <w:sz w:val="28"/>
                <w:lang w:val="en-US" w:eastAsia="ko-KR"/>
              </w:rPr>
              <w:t>m</w:t>
            </w:r>
          </w:p>
        </w:tc>
        <w:tc>
          <w:tcPr>
            <w:tcW w:w="1985" w:type="dxa"/>
            <w:vMerge w:val="restart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Электропр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водимость, </w:t>
            </w:r>
          </w:p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х10</w:t>
            </w:r>
            <w:r>
              <w:rPr>
                <w:sz w:val="28"/>
                <w:vertAlign w:val="superscript"/>
              </w:rPr>
              <w:t>-2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sym w:font="Symbol" w:char="F057"/>
            </w:r>
            <w:r>
              <w:rPr>
                <w:sz w:val="28"/>
                <w:vertAlign w:val="superscript"/>
              </w:rPr>
              <w:t>-1</w:t>
            </w:r>
            <w:r>
              <w:rPr>
                <w:sz w:val="28"/>
                <w:lang w:val="en-US"/>
              </w:rPr>
              <w:sym w:font="Symbol" w:char="F0D7"/>
            </w:r>
            <w:r>
              <w:rPr>
                <w:sz w:val="28"/>
              </w:rPr>
              <w:t>см</w:t>
            </w:r>
            <w:r>
              <w:rPr>
                <w:sz w:val="28"/>
                <w:vertAlign w:val="superscript"/>
              </w:rPr>
              <w:t>-1</w:t>
            </w:r>
            <w:r>
              <w:rPr>
                <w:sz w:val="28"/>
              </w:rPr>
              <w:t>,</w:t>
            </w:r>
          </w:p>
          <w:p w:rsidR="00A45AA3" w:rsidRDefault="00A45AA3" w:rsidP="0054278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 w:eastAsia="ko-KR"/>
              </w:rPr>
              <w:t>M</w:t>
            </w:r>
            <w:r>
              <w:rPr>
                <w:sz w:val="28"/>
                <w:lang w:eastAsia="ko-KR"/>
              </w:rPr>
              <w:t xml:space="preserve"> 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eastAsia="ko-KR"/>
              </w:rPr>
              <w:t xml:space="preserve"> </w:t>
            </w:r>
            <w:r>
              <w:rPr>
                <w:sz w:val="28"/>
                <w:lang w:val="en-US" w:eastAsia="ko-KR"/>
              </w:rPr>
              <w:t>m</w:t>
            </w:r>
          </w:p>
        </w:tc>
        <w:tc>
          <w:tcPr>
            <w:tcW w:w="4536" w:type="dxa"/>
            <w:gridSpan w:val="4"/>
          </w:tcPr>
          <w:p w:rsidR="00A45AA3" w:rsidRDefault="00A45AA3" w:rsidP="0054278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ионов металлов, мкг/мл,</w:t>
            </w:r>
          </w:p>
          <w:p w:rsidR="00A45AA3" w:rsidRDefault="00A45AA3" w:rsidP="00542788">
            <w:pPr>
              <w:widowControl w:val="0"/>
              <w:jc w:val="center"/>
              <w:rPr>
                <w:sz w:val="28"/>
                <w:lang w:val="en-GB" w:eastAsia="ko-KR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m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4" w:type="dxa"/>
            <w:vMerge/>
          </w:tcPr>
          <w:p w:rsidR="00A45AA3" w:rsidRDefault="00A45AA3" w:rsidP="00542788">
            <w:pPr>
              <w:widowControl w:val="0"/>
              <w:jc w:val="both"/>
              <w:rPr>
                <w:sz w:val="28"/>
                <w:lang w:val="en-GB"/>
              </w:rPr>
            </w:pPr>
          </w:p>
        </w:tc>
        <w:tc>
          <w:tcPr>
            <w:tcW w:w="1134" w:type="dxa"/>
            <w:vMerge/>
          </w:tcPr>
          <w:p w:rsidR="00A45AA3" w:rsidRDefault="00A45AA3" w:rsidP="00542788">
            <w:pPr>
              <w:widowControl w:val="0"/>
              <w:jc w:val="center"/>
              <w:rPr>
                <w:sz w:val="28"/>
                <w:lang w:val="en-GB"/>
              </w:rPr>
            </w:pPr>
          </w:p>
        </w:tc>
        <w:tc>
          <w:tcPr>
            <w:tcW w:w="1985" w:type="dxa"/>
            <w:vMerge/>
          </w:tcPr>
          <w:p w:rsidR="00A45AA3" w:rsidRDefault="00A45AA3" w:rsidP="00542788">
            <w:pPr>
              <w:widowControl w:val="0"/>
              <w:jc w:val="center"/>
              <w:rPr>
                <w:sz w:val="28"/>
                <w:lang w:val="en-GB"/>
              </w:rPr>
            </w:pPr>
          </w:p>
        </w:tc>
        <w:tc>
          <w:tcPr>
            <w:tcW w:w="1134" w:type="dxa"/>
          </w:tcPr>
          <w:p w:rsidR="00A45AA3" w:rsidRDefault="00A45AA3" w:rsidP="00542788">
            <w:pPr>
              <w:widowControl w:val="0"/>
              <w:jc w:val="center"/>
              <w:rPr>
                <w:sz w:val="28"/>
                <w:vertAlign w:val="superscript"/>
                <w:lang w:val="en-GB"/>
              </w:rPr>
            </w:pPr>
            <w:r>
              <w:rPr>
                <w:sz w:val="28"/>
                <w:lang w:val="en-GB"/>
              </w:rPr>
              <w:t>Fe</w:t>
            </w:r>
          </w:p>
        </w:tc>
        <w:tc>
          <w:tcPr>
            <w:tcW w:w="1134" w:type="dxa"/>
          </w:tcPr>
          <w:p w:rsidR="00A45AA3" w:rsidRDefault="00A45AA3" w:rsidP="00542788">
            <w:pPr>
              <w:widowControl w:val="0"/>
              <w:jc w:val="center"/>
              <w:rPr>
                <w:sz w:val="28"/>
                <w:vertAlign w:val="superscript"/>
                <w:lang w:val="en-GB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  <w:lang w:val="en-GB"/>
              </w:rPr>
              <w:t>u</w:t>
            </w:r>
            <w:proofErr w:type="gramEnd"/>
          </w:p>
        </w:tc>
        <w:tc>
          <w:tcPr>
            <w:tcW w:w="1134" w:type="dxa"/>
          </w:tcPr>
          <w:p w:rsidR="00A45AA3" w:rsidRDefault="00A45AA3" w:rsidP="00542788">
            <w:pPr>
              <w:widowControl w:val="0"/>
              <w:jc w:val="center"/>
              <w:rPr>
                <w:sz w:val="28"/>
                <w:vertAlign w:val="superscript"/>
                <w:lang w:val="en-GB"/>
              </w:rPr>
            </w:pPr>
            <w:r>
              <w:rPr>
                <w:sz w:val="28"/>
                <w:lang w:val="en-GB"/>
              </w:rPr>
              <w:t>Ni</w:t>
            </w:r>
          </w:p>
        </w:tc>
        <w:tc>
          <w:tcPr>
            <w:tcW w:w="1134" w:type="dxa"/>
          </w:tcPr>
          <w:p w:rsidR="00A45AA3" w:rsidRDefault="00A45AA3" w:rsidP="00542788">
            <w:pPr>
              <w:widowControl w:val="0"/>
              <w:jc w:val="center"/>
              <w:rPr>
                <w:sz w:val="28"/>
                <w:vertAlign w:val="superscript"/>
                <w:lang w:val="en-GB"/>
              </w:rPr>
            </w:pPr>
            <w:r>
              <w:rPr>
                <w:sz w:val="28"/>
                <w:lang w:val="en-GB"/>
              </w:rPr>
              <w:t>Zn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4" w:type="dxa"/>
          </w:tcPr>
          <w:p w:rsidR="00A45AA3" w:rsidRDefault="00A45AA3" w:rsidP="0054278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Интак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зубной ряд (Р)</w:t>
            </w:r>
          </w:p>
        </w:tc>
        <w:tc>
          <w:tcPr>
            <w:tcW w:w="1134" w:type="dxa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7,277</w:t>
            </w:r>
          </w:p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0,103</w:t>
            </w:r>
          </w:p>
        </w:tc>
        <w:tc>
          <w:tcPr>
            <w:tcW w:w="1985" w:type="dxa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0,07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0,034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0,009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0,025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0,007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0,039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0,005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0,272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0,090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4" w:type="dxa"/>
          </w:tcPr>
          <w:p w:rsidR="00A45AA3" w:rsidRDefault="00A45AA3" w:rsidP="0054278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2. С прот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зами до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крытия (Р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7,469</w:t>
            </w:r>
          </w:p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0,138</w:t>
            </w:r>
          </w:p>
        </w:tc>
        <w:tc>
          <w:tcPr>
            <w:tcW w:w="1985" w:type="dxa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0,12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0,217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0,031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0,052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0,007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0,432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0,043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0,658</w:t>
            </w:r>
          </w:p>
          <w:p w:rsidR="00A45AA3" w:rsidRDefault="00A45AA3" w:rsidP="00542788">
            <w:pPr>
              <w:pStyle w:val="a3"/>
              <w:widowControl w:val="0"/>
              <w:jc w:val="center"/>
            </w:pPr>
            <w:r>
              <w:sym w:font="Symbol" w:char="F0B1"/>
            </w:r>
            <w:r>
              <w:t>0,057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4" w:type="dxa"/>
          </w:tcPr>
          <w:p w:rsidR="00A45AA3" w:rsidRDefault="00A45AA3" w:rsidP="0054278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3. С прот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зами после покрытия (Р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7,312</w:t>
            </w:r>
          </w:p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0,114</w:t>
            </w:r>
          </w:p>
        </w:tc>
        <w:tc>
          <w:tcPr>
            <w:tcW w:w="1985" w:type="dxa"/>
          </w:tcPr>
          <w:p w:rsidR="00A45AA3" w:rsidRDefault="00A45AA3" w:rsidP="00542788">
            <w:pPr>
              <w:tabs>
                <w:tab w:val="left" w:pos="6946"/>
              </w:tabs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0,29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0,09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0,062</w:t>
            </w:r>
          </w:p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sym w:font="Symbol" w:char="F0B1"/>
            </w:r>
            <w:r>
              <w:rPr>
                <w:lang w:val="en-US"/>
              </w:rPr>
              <w:t>0,008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0,026</w:t>
            </w:r>
          </w:p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sym w:font="Symbol" w:char="F0B1"/>
            </w:r>
            <w:r>
              <w:rPr>
                <w:lang w:val="en-US"/>
              </w:rPr>
              <w:t>0,005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0,033</w:t>
            </w:r>
          </w:p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sym w:font="Symbol" w:char="F0B1"/>
            </w:r>
            <w:r>
              <w:rPr>
                <w:lang w:val="en-US"/>
              </w:rPr>
              <w:t>0,008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0,197</w:t>
            </w:r>
          </w:p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sym w:font="Symbol" w:char="F0B1"/>
            </w:r>
            <w:r>
              <w:rPr>
                <w:lang w:val="en-US"/>
              </w:rPr>
              <w:t>0,046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</w:tcPr>
          <w:p w:rsidR="00A45AA3" w:rsidRDefault="00A45AA3" w:rsidP="0054278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 – P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&gt;0,2</w:t>
            </w:r>
          </w:p>
        </w:tc>
        <w:tc>
          <w:tcPr>
            <w:tcW w:w="1985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&lt;0,05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&lt;0,001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&gt;0,2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&lt;0,001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&lt;0,001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</w:tcPr>
          <w:p w:rsidR="00A45AA3" w:rsidRDefault="00A45AA3" w:rsidP="0054278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 – P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&gt;0,2</w:t>
            </w:r>
          </w:p>
        </w:tc>
        <w:tc>
          <w:tcPr>
            <w:tcW w:w="1985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&gt;0,5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&gt;0,5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&gt;0,2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&gt;0,5</w:t>
            </w:r>
          </w:p>
        </w:tc>
      </w:tr>
      <w:tr w:rsidR="00A45AA3" w:rsidTr="00542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</w:tcPr>
          <w:p w:rsidR="00A45AA3" w:rsidRDefault="00A45AA3" w:rsidP="00542788">
            <w:pPr>
              <w:widowControl w:val="0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&gt;0,2</w:t>
            </w:r>
          </w:p>
        </w:tc>
        <w:tc>
          <w:tcPr>
            <w:tcW w:w="1985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&lt;0,001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&lt;0,01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&gt;0,2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&lt;0,01</w:t>
            </w:r>
          </w:p>
        </w:tc>
        <w:tc>
          <w:tcPr>
            <w:tcW w:w="1134" w:type="dxa"/>
          </w:tcPr>
          <w:p w:rsidR="00A45AA3" w:rsidRDefault="00A45AA3" w:rsidP="00542788">
            <w:pPr>
              <w:pStyle w:val="a3"/>
              <w:widowControl w:val="0"/>
              <w:jc w:val="center"/>
            </w:pPr>
            <w:r>
              <w:t>&lt;0,001</w:t>
            </w:r>
          </w:p>
        </w:tc>
      </w:tr>
    </w:tbl>
    <w:p w:rsidR="00A45AA3" w:rsidRDefault="00A45AA3" w:rsidP="00A45AA3">
      <w:pPr>
        <w:pStyle w:val="a3"/>
        <w:widowControl w:val="0"/>
        <w:jc w:val="both"/>
        <w:rPr>
          <w:b/>
        </w:rPr>
      </w:pPr>
    </w:p>
    <w:p w:rsidR="00A45AA3" w:rsidRDefault="00A45AA3" w:rsidP="00A45AA3">
      <w:pPr>
        <w:pStyle w:val="a3"/>
        <w:widowControl w:val="0"/>
        <w:jc w:val="both"/>
      </w:pPr>
      <w:r>
        <w:t xml:space="preserve">по сравнению с лицами с </w:t>
      </w:r>
      <w:proofErr w:type="spellStart"/>
      <w:r>
        <w:t>интактным</w:t>
      </w:r>
      <w:proofErr w:type="spellEnd"/>
      <w:r>
        <w:t xml:space="preserve"> зубным рядом и здоровой слизистой оболочкой выявлено увеличение содержания железа в 7 раз, меди – в 2 раза, никеля – более чем в 10 раз, цинка – около 3 раз, и эти данные статистически значимы (</w:t>
      </w:r>
      <w:proofErr w:type="gramStart"/>
      <w:r>
        <w:t>Р</w:t>
      </w:r>
      <w:proofErr w:type="gramEnd"/>
      <w:r>
        <w:t>&lt;0,05 - Р&lt;0,001).</w:t>
      </w:r>
    </w:p>
    <w:p w:rsidR="00A45AA3" w:rsidRDefault="00A45AA3" w:rsidP="00A45AA3">
      <w:pPr>
        <w:pStyle w:val="a3"/>
      </w:pPr>
      <w:r>
        <w:br w:type="page"/>
      </w:r>
      <w:r>
        <w:lastRenderedPageBreak/>
        <w:t xml:space="preserve">Мостовидный протез из нержавеющей стали с </w:t>
      </w:r>
      <w:proofErr w:type="spellStart"/>
      <w:proofErr w:type="gramStart"/>
      <w:r>
        <w:t>нитрид-титановым</w:t>
      </w:r>
      <w:proofErr w:type="spellEnd"/>
      <w:proofErr w:type="gramEnd"/>
      <w:r>
        <w:t xml:space="preserve"> покрыт</w:t>
      </w:r>
      <w:r>
        <w:t>и</w:t>
      </w:r>
      <w:r>
        <w:t>ем на нижней челюсти справа без полимерного покрытия</w:t>
      </w: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62525" cy="3305175"/>
            <wp:effectExtent l="19050" t="0" r="9525" b="0"/>
            <wp:docPr id="1" name="Рисунок 1" descr="bw-fil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fil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pStyle w:val="a3"/>
      </w:pPr>
      <w:r>
        <w:t xml:space="preserve">Мостовидный протез </w:t>
      </w:r>
      <w:proofErr w:type="spellStart"/>
      <w:proofErr w:type="gramStart"/>
      <w:r>
        <w:t>протез</w:t>
      </w:r>
      <w:proofErr w:type="spellEnd"/>
      <w:proofErr w:type="gramEnd"/>
      <w:r>
        <w:t xml:space="preserve"> из нержавеющей стали с </w:t>
      </w:r>
      <w:proofErr w:type="spellStart"/>
      <w:r>
        <w:t>нитрид-титановым</w:t>
      </w:r>
      <w:proofErr w:type="spellEnd"/>
      <w:r>
        <w:t xml:space="preserve"> п</w:t>
      </w:r>
      <w:r>
        <w:t>о</w:t>
      </w:r>
      <w:r>
        <w:t>крытием на нижней челюсти справа, покрытый полимерной пленкой</w:t>
      </w: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48225" cy="3209925"/>
            <wp:effectExtent l="19050" t="0" r="9525" b="0"/>
            <wp:docPr id="2" name="Рисунок 2" descr="bw-fil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-film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jc w:val="center"/>
        <w:rPr>
          <w:sz w:val="28"/>
        </w:rPr>
      </w:pPr>
    </w:p>
    <w:p w:rsidR="00A45AA3" w:rsidRDefault="00A45AA3" w:rsidP="00A45AA3">
      <w:pPr>
        <w:pStyle w:val="a3"/>
        <w:widowControl w:val="0"/>
        <w:ind w:firstLine="397"/>
        <w:jc w:val="both"/>
      </w:pPr>
      <w:r>
        <w:br w:type="page"/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lastRenderedPageBreak/>
        <w:tab/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Проведенные клинические исследования показали, что наличие симптомов непереносимости к металлическим включениям в полости рта имеет широкий диапазон клинических проявлений. Наряду с традиционными жалобами на «металлический привкус», «кислый привкус» появились новые жалобы, такие как ощущение «железа» в полости рта или сочетание жалоб ощущения «жел</w:t>
      </w:r>
      <w:r>
        <w:t>е</w:t>
      </w:r>
      <w:r>
        <w:t>за» с «металлическим привкусом» при введении металлических зубных прот</w:t>
      </w:r>
      <w:r>
        <w:t>е</w:t>
      </w:r>
      <w:r>
        <w:t>зов. Не встречаются такие жалобы, как «ощущение тока», «удар током». Ср</w:t>
      </w:r>
      <w:r>
        <w:t>о</w:t>
      </w:r>
      <w:r>
        <w:t xml:space="preserve">ки появления жалоб самые разнообразные. Это подтвердило неоднозначность диагностирования непереносимости такими методами, как </w:t>
      </w:r>
      <w:proofErr w:type="spellStart"/>
      <w:r>
        <w:t>эпикутанные</w:t>
      </w:r>
      <w:proofErr w:type="spellEnd"/>
      <w:r>
        <w:t xml:space="preserve"> пр</w:t>
      </w:r>
      <w:r>
        <w:t>о</w:t>
      </w:r>
      <w:r>
        <w:t xml:space="preserve">бы на материал протезов, определение показателей </w:t>
      </w:r>
      <w:proofErr w:type="spellStart"/>
      <w:r>
        <w:t>рН</w:t>
      </w:r>
      <w:proofErr w:type="spellEnd"/>
      <w:r>
        <w:t xml:space="preserve"> и электропроводим</w:t>
      </w:r>
      <w:r>
        <w:t>о</w:t>
      </w:r>
      <w:r>
        <w:t>сти слюны, электрических потенциалов металлических зубных протезов и тканей полости рта.</w:t>
      </w:r>
    </w:p>
    <w:p w:rsidR="00A45AA3" w:rsidRDefault="00A45AA3" w:rsidP="00A45AA3">
      <w:pPr>
        <w:pStyle w:val="a3"/>
        <w:widowControl w:val="0"/>
        <w:ind w:firstLine="397"/>
        <w:jc w:val="both"/>
      </w:pPr>
      <w:r>
        <w:t>Предложенный метод изоляции поверхности металлических зубных прот</w:t>
      </w:r>
      <w:r>
        <w:t>е</w:t>
      </w:r>
      <w:r>
        <w:t>зов позволяет в достаточной степени диагностировать непереносимость к м</w:t>
      </w:r>
      <w:r>
        <w:t>е</w:t>
      </w:r>
      <w:r>
        <w:t>таллическим конструкциям в полости рта, дифференцировать жалобы и си</w:t>
      </w:r>
      <w:r>
        <w:t>м</w:t>
      </w:r>
      <w:r>
        <w:t>птомы заболевания пациентов без предварительного, зачастую не обоснова</w:t>
      </w:r>
      <w:r>
        <w:t>н</w:t>
      </w:r>
      <w:r>
        <w:t>ного, удаления металлических протезов из полости рта. Предложенная мет</w:t>
      </w:r>
      <w:r>
        <w:t>о</w:t>
      </w:r>
      <w:r>
        <w:t>дика нанесения полимерного покрытия проста в применении, нанесенная п</w:t>
      </w:r>
      <w:r>
        <w:t>о</w:t>
      </w:r>
      <w:r>
        <w:t>лимерная пленка не создает неудобств пациентам, сохраняется в течение н</w:t>
      </w:r>
      <w:r>
        <w:t>е</w:t>
      </w:r>
      <w:r>
        <w:t>скольких суток в полости рта пациента при соблюдении рекомендаций по р</w:t>
      </w:r>
      <w:r>
        <w:t>е</w:t>
      </w:r>
      <w:r>
        <w:t>жиму питания.</w:t>
      </w:r>
    </w:p>
    <w:p w:rsidR="00A45AA3" w:rsidRDefault="00A45AA3" w:rsidP="00A45AA3">
      <w:pPr>
        <w:pStyle w:val="a3"/>
        <w:widowControl w:val="0"/>
        <w:ind w:firstLine="397"/>
        <w:jc w:val="both"/>
        <w:rPr>
          <w:b/>
        </w:rPr>
      </w:pPr>
      <w:r>
        <w:t>Таким образом, клинические исследования доказали возможность и цел</w:t>
      </w:r>
      <w:r>
        <w:t>е</w:t>
      </w:r>
      <w:r>
        <w:t xml:space="preserve">сообразность </w:t>
      </w:r>
      <w:proofErr w:type="gramStart"/>
      <w:r>
        <w:t>использования метода изоляции поверхности металлических зубных протезов</w:t>
      </w:r>
      <w:proofErr w:type="gramEnd"/>
      <w:r>
        <w:t xml:space="preserve"> путем нанесения полимерного покрытия на поверхность м</w:t>
      </w:r>
      <w:r>
        <w:t>е</w:t>
      </w:r>
      <w:r>
        <w:t>таллических зубных протезов в полости рта в диагностике непереносимости к металлическим конструкциям в п</w:t>
      </w:r>
      <w:r>
        <w:t>о</w:t>
      </w:r>
      <w:r>
        <w:t>лости рта.</w:t>
      </w:r>
      <w:r>
        <w:rPr>
          <w:b/>
        </w:rPr>
        <w:t xml:space="preserve"> </w:t>
      </w:r>
    </w:p>
    <w:p w:rsidR="001E54EA" w:rsidRDefault="001E54EA"/>
    <w:sectPr w:rsidR="001E54EA" w:rsidSect="00A45AA3">
      <w:pgSz w:w="11906" w:h="16838"/>
      <w:pgMar w:top="851" w:right="73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A3"/>
    <w:rsid w:val="00001A9C"/>
    <w:rsid w:val="00061044"/>
    <w:rsid w:val="0016626B"/>
    <w:rsid w:val="001E54EA"/>
    <w:rsid w:val="0037364A"/>
    <w:rsid w:val="006D61FE"/>
    <w:rsid w:val="008C198D"/>
    <w:rsid w:val="008E6B9D"/>
    <w:rsid w:val="009C2F0B"/>
    <w:rsid w:val="00A45AA3"/>
    <w:rsid w:val="00DB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AA3"/>
    <w:rPr>
      <w:sz w:val="28"/>
    </w:rPr>
  </w:style>
  <w:style w:type="character" w:customStyle="1" w:styleId="a4">
    <w:name w:val="Основной текст Знак"/>
    <w:basedOn w:val="a0"/>
    <w:link w:val="a3"/>
    <w:rsid w:val="00A45AA3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45A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5AA3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A3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2011-11-30T09:26:00Z</dcterms:created>
  <dcterms:modified xsi:type="dcterms:W3CDTF">2011-11-30T09:44:00Z</dcterms:modified>
</cp:coreProperties>
</file>