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7" w:rsidRDefault="005E5CF7" w:rsidP="005E5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F7">
        <w:rPr>
          <w:rFonts w:ascii="Times New Roman" w:hAnsi="Times New Roman"/>
          <w:b/>
          <w:sz w:val="24"/>
          <w:szCs w:val="24"/>
        </w:rPr>
        <w:t xml:space="preserve">Изучение фактического питания и состояния здоровья детей 5-летнего возраста </w:t>
      </w:r>
      <w:r w:rsidRPr="005E5CF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E5CF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E5C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E5CF7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5E5CF7">
        <w:rPr>
          <w:rFonts w:ascii="Times New Roman" w:hAnsi="Times New Roman" w:cs="Times New Roman"/>
          <w:b/>
          <w:sz w:val="24"/>
          <w:szCs w:val="24"/>
        </w:rPr>
        <w:t xml:space="preserve"> и сельских районах </w:t>
      </w:r>
      <w:proofErr w:type="spellStart"/>
      <w:r w:rsidRPr="005E5CF7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5E5CF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5E5CF7" w:rsidRDefault="005E5CF7" w:rsidP="005E5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нутрициология</w:t>
      </w:r>
      <w:proofErr w:type="spellEnd"/>
    </w:p>
    <w:p w:rsidR="005E5CF7" w:rsidRDefault="005E5CF7" w:rsidP="005E5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Кожахметова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Бужикеева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А.Б., Ли М.В.,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Г.Х., </w:t>
      </w:r>
    </w:p>
    <w:p w:rsidR="005E5CF7" w:rsidRPr="005E5CF7" w:rsidRDefault="005E5CF7" w:rsidP="005E5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Бердыгалиев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Сукенова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Смагулова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И.Е. </w:t>
      </w:r>
    </w:p>
    <w:p w:rsidR="00B80634" w:rsidRPr="005E5CF7" w:rsidRDefault="00B80634" w:rsidP="00853A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5CF7">
        <w:rPr>
          <w:rFonts w:ascii="Times New Roman" w:hAnsi="Times New Roman" w:cs="Times New Roman"/>
          <w:snapToGrid w:val="0"/>
          <w:sz w:val="24"/>
          <w:szCs w:val="24"/>
        </w:rPr>
        <w:t>Здоровье детей независимо от экономических и политических условий, является актуальной проблемой и задачей первоочередной важности. Ведущая роль в решении проблем охраны и укрепления здоровья детей, создании нормальных условий для их роста и развития, а также организаций рационального питания.</w:t>
      </w:r>
    </w:p>
    <w:p w:rsidR="00853AC0" w:rsidRDefault="00853AC0" w:rsidP="00853A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5CF7">
        <w:rPr>
          <w:rFonts w:ascii="Times New Roman" w:hAnsi="Times New Roman" w:cs="Times New Roman"/>
          <w:snapToGrid w:val="0"/>
          <w:sz w:val="24"/>
          <w:szCs w:val="24"/>
        </w:rPr>
        <w:t xml:space="preserve">В последнее время внимание педиатров и общественности привлекает факт увеличения числа детей, масса которых превышает возрастную норму вследствие избыточного жироотложения. Общепринятый метод оценки физического развития детей не позволяет уловить начальные формы </w:t>
      </w:r>
      <w:proofErr w:type="spellStart"/>
      <w:proofErr w:type="gramStart"/>
      <w:r w:rsidRPr="005E5CF7">
        <w:rPr>
          <w:rFonts w:ascii="Times New Roman" w:hAnsi="Times New Roman" w:cs="Times New Roman"/>
          <w:snapToGrid w:val="0"/>
          <w:sz w:val="24"/>
          <w:szCs w:val="24"/>
        </w:rPr>
        <w:t>морфо-функциональных</w:t>
      </w:r>
      <w:proofErr w:type="spellEnd"/>
      <w:proofErr w:type="gramEnd"/>
      <w:r w:rsidRPr="005E5CF7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нарушений  в тканях, обусловливающие жироотложение и изменение состава тела в основном из-за  неправильного питания и неадекватной физической активности. </w:t>
      </w:r>
    </w:p>
    <w:p w:rsidR="000608CB" w:rsidRPr="000608CB" w:rsidRDefault="000608CB" w:rsidP="000608C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8CB">
        <w:rPr>
          <w:rFonts w:ascii="Times New Roman" w:hAnsi="Times New Roman" w:cs="Times New Roman"/>
          <w:b/>
          <w:sz w:val="24"/>
          <w:szCs w:val="24"/>
        </w:rPr>
        <w:t>5-лет</w:t>
      </w:r>
      <w:r w:rsidRPr="000608CB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Pr="000608CB">
        <w:rPr>
          <w:rFonts w:ascii="Times New Roman" w:hAnsi="Times New Roman" w:cs="Times New Roman"/>
          <w:b/>
          <w:i/>
          <w:sz w:val="24"/>
          <w:szCs w:val="24"/>
        </w:rPr>
        <w:t>сенситивным периодом</w:t>
      </w:r>
      <w:r w:rsidRPr="000608CB">
        <w:rPr>
          <w:rFonts w:ascii="Times New Roman" w:hAnsi="Times New Roman" w:cs="Times New Roman"/>
          <w:sz w:val="24"/>
          <w:szCs w:val="24"/>
        </w:rPr>
        <w:t xml:space="preserve"> в жизни ребенка, когда максимальное развитие получают все познавательные процессы: внимание, восприятие, мышление, память, воображение. </w:t>
      </w:r>
    </w:p>
    <w:p w:rsidR="000608CB" w:rsidRPr="000608CB" w:rsidRDefault="000608CB" w:rsidP="000608C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8CB">
        <w:rPr>
          <w:rFonts w:ascii="Times New Roman" w:hAnsi="Times New Roman" w:cs="Times New Roman"/>
          <w:sz w:val="24"/>
          <w:szCs w:val="24"/>
        </w:rPr>
        <w:t>В этом возрасте у ребенка закладываются многие личностные аспекты, прорабатываются все моменты становления «Я» позиции и просматривается черты его будущего. В этом возрасте ребенок запоминает столько материала, сколько он не запомнит потом никогда в жизни.</w:t>
      </w:r>
    </w:p>
    <w:p w:rsidR="000608CB" w:rsidRPr="000608CB" w:rsidRDefault="000608CB" w:rsidP="000608CB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8CB">
        <w:rPr>
          <w:rFonts w:ascii="Times New Roman" w:hAnsi="Times New Roman" w:cs="Times New Roman"/>
          <w:sz w:val="24"/>
          <w:szCs w:val="24"/>
        </w:rPr>
        <w:t xml:space="preserve">В 5 лет дети много двигаются и </w:t>
      </w:r>
      <w:r w:rsidRPr="000608CB">
        <w:rPr>
          <w:rFonts w:ascii="Times New Roman" w:hAnsi="Times New Roman" w:cs="Times New Roman"/>
          <w:bCs/>
          <w:sz w:val="24"/>
          <w:szCs w:val="24"/>
        </w:rPr>
        <w:t xml:space="preserve">тратят массу энергии, единственным источником которой является еда. </w:t>
      </w:r>
    </w:p>
    <w:p w:rsidR="00853AC0" w:rsidRDefault="00853AC0" w:rsidP="006844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CF7">
        <w:rPr>
          <w:rFonts w:ascii="Times New Roman" w:hAnsi="Times New Roman" w:cs="Times New Roman"/>
          <w:b/>
          <w:snapToGrid w:val="0"/>
        </w:rPr>
        <w:t>Цель исследования</w:t>
      </w:r>
      <w:r w:rsidRPr="005E5CF7">
        <w:rPr>
          <w:rFonts w:ascii="Times New Roman" w:hAnsi="Times New Roman" w:cs="Times New Roman"/>
          <w:snapToGrid w:val="0"/>
        </w:rPr>
        <w:t>:</w:t>
      </w:r>
      <w:r>
        <w:rPr>
          <w:snapToGrid w:val="0"/>
        </w:rPr>
        <w:t xml:space="preserve"> </w:t>
      </w:r>
      <w:r w:rsidRPr="00220AC4">
        <w:rPr>
          <w:rFonts w:ascii="Times New Roman" w:hAnsi="Times New Roman"/>
          <w:sz w:val="24"/>
          <w:szCs w:val="24"/>
        </w:rPr>
        <w:t xml:space="preserve">Изучение фактического питания, </w:t>
      </w:r>
      <w:proofErr w:type="spellStart"/>
      <w:r w:rsidRPr="00220AC4">
        <w:rPr>
          <w:rFonts w:ascii="Times New Roman" w:hAnsi="Times New Roman"/>
          <w:sz w:val="24"/>
          <w:szCs w:val="24"/>
        </w:rPr>
        <w:t>нутриционального</w:t>
      </w:r>
      <w:proofErr w:type="spellEnd"/>
      <w:r w:rsidRPr="00220AC4">
        <w:rPr>
          <w:rFonts w:ascii="Times New Roman" w:hAnsi="Times New Roman"/>
          <w:sz w:val="24"/>
          <w:szCs w:val="24"/>
        </w:rPr>
        <w:t xml:space="preserve"> статуса и здоровья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AC4">
        <w:rPr>
          <w:rFonts w:ascii="Times New Roman" w:hAnsi="Times New Roman"/>
          <w:sz w:val="24"/>
          <w:szCs w:val="24"/>
        </w:rPr>
        <w:t>5-летнего возраста в детских садах и оценка адекватности калорийности пищевых рационов для разработки научно-обоснованных норм потребления продуктов.</w:t>
      </w:r>
    </w:p>
    <w:p w:rsidR="00781952" w:rsidRPr="00781952" w:rsidRDefault="00781952" w:rsidP="00060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52">
        <w:rPr>
          <w:rFonts w:ascii="Times New Roman" w:hAnsi="Times New Roman" w:cs="Times New Roman"/>
          <w:b/>
          <w:sz w:val="24"/>
          <w:szCs w:val="24"/>
        </w:rPr>
        <w:t>Объем исследований</w:t>
      </w:r>
      <w:r w:rsidR="000608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1952">
        <w:rPr>
          <w:rFonts w:ascii="Times New Roman" w:hAnsi="Times New Roman" w:cs="Times New Roman"/>
          <w:sz w:val="24"/>
          <w:szCs w:val="24"/>
        </w:rPr>
        <w:t xml:space="preserve">Из 132 дошкольных учреждений системы образования с использованием таблицы случайных чисел в </w:t>
      </w:r>
      <w:proofErr w:type="gramStart"/>
      <w:r w:rsidRPr="007819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19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95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81952">
        <w:rPr>
          <w:rFonts w:ascii="Times New Roman" w:hAnsi="Times New Roman" w:cs="Times New Roman"/>
          <w:sz w:val="24"/>
          <w:szCs w:val="24"/>
        </w:rPr>
        <w:t xml:space="preserve"> выбрано 10 детских садов  (7%). У 907 детей в возрасте 5 лет, отобранных в этих учреждениях методом рандомизации,  проведена оценка </w:t>
      </w:r>
      <w:proofErr w:type="spellStart"/>
      <w:r w:rsidRPr="00781952">
        <w:rPr>
          <w:rFonts w:ascii="Times New Roman" w:hAnsi="Times New Roman" w:cs="Times New Roman"/>
          <w:sz w:val="24"/>
          <w:szCs w:val="24"/>
        </w:rPr>
        <w:t>нутриционального</w:t>
      </w:r>
      <w:proofErr w:type="spellEnd"/>
      <w:r w:rsidRPr="00781952">
        <w:rPr>
          <w:rFonts w:ascii="Times New Roman" w:hAnsi="Times New Roman" w:cs="Times New Roman"/>
          <w:sz w:val="24"/>
          <w:szCs w:val="24"/>
        </w:rPr>
        <w:t xml:space="preserve"> статуса по антропометрическим показателям, адекватности калорийности рационов питания суточным </w:t>
      </w:r>
      <w:proofErr w:type="spellStart"/>
      <w:r w:rsidRPr="00781952">
        <w:rPr>
          <w:rFonts w:ascii="Times New Roman" w:hAnsi="Times New Roman" w:cs="Times New Roman"/>
          <w:sz w:val="24"/>
          <w:szCs w:val="24"/>
        </w:rPr>
        <w:t>энерготратам</w:t>
      </w:r>
      <w:proofErr w:type="spellEnd"/>
      <w:r w:rsidRPr="00781952">
        <w:rPr>
          <w:rFonts w:ascii="Times New Roman" w:hAnsi="Times New Roman" w:cs="Times New Roman"/>
          <w:sz w:val="24"/>
          <w:szCs w:val="24"/>
        </w:rPr>
        <w:t xml:space="preserve">, степень удовлетворения потребности организма в основных пищевых веществах, а также определение уровня в крови гемоглобина </w:t>
      </w:r>
      <w:proofErr w:type="spellStart"/>
      <w:r w:rsidRPr="00781952">
        <w:rPr>
          <w:rFonts w:ascii="Times New Roman" w:hAnsi="Times New Roman" w:cs="Times New Roman"/>
          <w:sz w:val="24"/>
          <w:szCs w:val="24"/>
          <w:lang w:val="en-US"/>
        </w:rPr>
        <w:t>HemoCue</w:t>
      </w:r>
      <w:proofErr w:type="spellEnd"/>
      <w:r w:rsidRPr="00781952">
        <w:rPr>
          <w:rFonts w:ascii="Times New Roman" w:hAnsi="Times New Roman" w:cs="Times New Roman"/>
          <w:sz w:val="24"/>
          <w:szCs w:val="24"/>
        </w:rPr>
        <w:t xml:space="preserve"> и сахара утром натощак </w:t>
      </w:r>
      <w:proofErr w:type="spellStart"/>
      <w:r w:rsidRPr="00781952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="000608CB">
        <w:rPr>
          <w:rFonts w:ascii="Times New Roman" w:hAnsi="Times New Roman" w:cs="Times New Roman"/>
          <w:sz w:val="24"/>
          <w:szCs w:val="24"/>
        </w:rPr>
        <w:t>.</w:t>
      </w:r>
      <w:r w:rsidRPr="007819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 xml:space="preserve">Исследование фактического потребления продуктов и состояния питания осуществлялось двумя методами: 1) опросно-весовой  для количественной и качественной характеристики съеденной пищи и 2) воспроизведение суточного </w:t>
      </w:r>
      <w:r w:rsidRPr="00C57F9F">
        <w:rPr>
          <w:rFonts w:ascii="Times New Roman" w:hAnsi="Times New Roman" w:cs="Times New Roman"/>
          <w:sz w:val="24"/>
          <w:szCs w:val="24"/>
        </w:rPr>
        <w:lastRenderedPageBreak/>
        <w:t xml:space="preserve">рациона питания за предыдущий день (24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C57F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7F9F">
        <w:rPr>
          <w:rFonts w:ascii="Times New Roman" w:hAnsi="Times New Roman" w:cs="Times New Roman"/>
          <w:sz w:val="24"/>
          <w:szCs w:val="24"/>
        </w:rPr>
        <w:t xml:space="preserve"> 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recall</w:t>
      </w:r>
      <w:r w:rsidRPr="00C57F9F">
        <w:rPr>
          <w:rFonts w:ascii="Times New Roman" w:hAnsi="Times New Roman" w:cs="Times New Roman"/>
          <w:sz w:val="24"/>
          <w:szCs w:val="24"/>
        </w:rPr>
        <w:t xml:space="preserve"> 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C57F9F">
        <w:rPr>
          <w:rFonts w:ascii="Times New Roman" w:hAnsi="Times New Roman" w:cs="Times New Roman"/>
          <w:sz w:val="24"/>
          <w:szCs w:val="24"/>
        </w:rPr>
        <w:t xml:space="preserve">) путем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двухкратного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 интервьюирования респондента. </w:t>
      </w:r>
      <w:r w:rsidRPr="00C57F9F">
        <w:rPr>
          <w:rFonts w:ascii="Times New Roman" w:hAnsi="Times New Roman" w:cs="Times New Roman"/>
          <w:sz w:val="24"/>
          <w:szCs w:val="24"/>
        </w:rPr>
        <w:tab/>
        <w:t xml:space="preserve">Для объективизации воспроизведения объема еды респонденты могли пользоваться альбомом с цветными фотографиями традиционно используемых продуктов и блюд в натуральную величину, которые были снабжены указателями их веса. 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>Расчет калорийности и пищевой ценности рационов проводился по компьютерной программе, разработанной в Казахской академии питания, включающей базу данных 1200 продуктов. Программа позволяет осуществлять расчет  потерь продуктов при холодной обработке и пищевых веществ - при термической обработке.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>Для разработки стандартов физического развития и выявления имеющихся отклонений у детей и подростков проведен анализ длины (роста) и массы тела, индекса массы тела и окружности груди в сопоставлении с аналогичными показателями у их сверстников в «эталонной» популяцией.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 xml:space="preserve">Поскольку общепринятый метод оценки физического развития детей по таблицам возрастно-ростовых норм и процентному увеличению массы тела не позволяет точно определить роль избыточного жироотложения в приросте массы тела, мы прибегли к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колиперометрии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 и использованию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биоимпендансметрии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 японским прибором “</w:t>
      </w:r>
      <w:proofErr w:type="spellStart"/>
      <w:r w:rsidRPr="00C57F9F">
        <w:rPr>
          <w:rFonts w:ascii="Times New Roman" w:hAnsi="Times New Roman" w:cs="Times New Roman"/>
          <w:sz w:val="24"/>
          <w:szCs w:val="24"/>
          <w:lang w:val="en-US"/>
        </w:rPr>
        <w:t>Tanita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”, предназначенным для определения состава тела. 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 xml:space="preserve">В капиллярной крови определяли гемоглобин с использованием </w:t>
      </w:r>
      <w:proofErr w:type="spellStart"/>
      <w:r w:rsidRPr="00C57F9F">
        <w:rPr>
          <w:rFonts w:ascii="Times New Roman" w:hAnsi="Times New Roman" w:cs="Times New Roman"/>
          <w:sz w:val="24"/>
          <w:szCs w:val="24"/>
          <w:lang w:val="en-US"/>
        </w:rPr>
        <w:t>HemoCue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, 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C57F9F">
        <w:rPr>
          <w:rFonts w:ascii="Times New Roman" w:hAnsi="Times New Roman" w:cs="Times New Roman"/>
          <w:sz w:val="24"/>
          <w:szCs w:val="24"/>
        </w:rPr>
        <w:t xml:space="preserve"> и содержание сахара натощак и после приема пищи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7F9F">
        <w:rPr>
          <w:rFonts w:ascii="Times New Roman" w:hAnsi="Times New Roman" w:cs="Times New Roman"/>
          <w:sz w:val="24"/>
          <w:szCs w:val="24"/>
          <w:lang w:val="en-US"/>
        </w:rPr>
        <w:t>Optium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», 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C57F9F">
        <w:rPr>
          <w:rFonts w:ascii="Times New Roman" w:hAnsi="Times New Roman" w:cs="Times New Roman"/>
          <w:sz w:val="24"/>
          <w:szCs w:val="24"/>
        </w:rPr>
        <w:t>.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>Статистический анализ полученных данных проводился при помощи мощных пакетов программного обеспечения «Статистический пакет для общественных наук» (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C57F9F">
        <w:rPr>
          <w:rFonts w:ascii="Times New Roman" w:hAnsi="Times New Roman" w:cs="Times New Roman"/>
          <w:sz w:val="24"/>
          <w:szCs w:val="24"/>
        </w:rPr>
        <w:t>, версия 16) и типового синтаксиса и алгоритмов табулирования, адаптированных для цели настоящего исследования.</w:t>
      </w:r>
    </w:p>
    <w:p w:rsidR="00853AC0" w:rsidRPr="005E5CF7" w:rsidRDefault="00853AC0" w:rsidP="005E5C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CF7">
        <w:rPr>
          <w:rFonts w:ascii="Times New Roman" w:hAnsi="Times New Roman" w:cs="Times New Roman"/>
          <w:sz w:val="24"/>
          <w:szCs w:val="24"/>
        </w:rPr>
        <w:t>По материалам</w:t>
      </w:r>
      <w:r w:rsidRPr="005E5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CF7">
        <w:rPr>
          <w:rFonts w:ascii="Times New Roman" w:hAnsi="Times New Roman" w:cs="Times New Roman"/>
          <w:sz w:val="24"/>
          <w:szCs w:val="24"/>
        </w:rPr>
        <w:t xml:space="preserve">комплексного обследования детей дошкольного возраста,  в </w:t>
      </w:r>
      <w:proofErr w:type="gramStart"/>
      <w:r w:rsidRPr="005E5C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5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CF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E5CF7">
        <w:rPr>
          <w:rFonts w:ascii="Times New Roman" w:hAnsi="Times New Roman" w:cs="Times New Roman"/>
          <w:sz w:val="24"/>
          <w:szCs w:val="24"/>
        </w:rPr>
        <w:t xml:space="preserve"> и сельских районах </w:t>
      </w:r>
      <w:proofErr w:type="spellStart"/>
      <w:r w:rsidRPr="005E5CF7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5E5CF7">
        <w:rPr>
          <w:rFonts w:ascii="Times New Roman" w:hAnsi="Times New Roman" w:cs="Times New Roman"/>
          <w:sz w:val="24"/>
          <w:szCs w:val="24"/>
        </w:rPr>
        <w:t xml:space="preserve"> области получены следующие научные факты и доводы: </w:t>
      </w:r>
    </w:p>
    <w:p w:rsidR="00853AC0" w:rsidRPr="005E5CF7" w:rsidRDefault="00853AC0" w:rsidP="006844F6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CF7">
        <w:rPr>
          <w:rFonts w:ascii="Times New Roman" w:hAnsi="Times New Roman"/>
          <w:sz w:val="24"/>
          <w:szCs w:val="24"/>
        </w:rPr>
        <w:t xml:space="preserve">установлены метаболические константы для отдельных видов физической активности, позволившие уточнить суточные </w:t>
      </w:r>
      <w:proofErr w:type="spellStart"/>
      <w:r w:rsidRPr="005E5CF7">
        <w:rPr>
          <w:rFonts w:ascii="Times New Roman" w:hAnsi="Times New Roman"/>
          <w:sz w:val="24"/>
          <w:szCs w:val="24"/>
        </w:rPr>
        <w:t>энерготраты</w:t>
      </w:r>
      <w:proofErr w:type="spellEnd"/>
      <w:r w:rsidRPr="005E5C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5CF7">
        <w:rPr>
          <w:rFonts w:ascii="Times New Roman" w:hAnsi="Times New Roman"/>
          <w:sz w:val="24"/>
          <w:szCs w:val="24"/>
        </w:rPr>
        <w:t>энергопотребность</w:t>
      </w:r>
      <w:proofErr w:type="spellEnd"/>
      <w:r w:rsidRPr="005E5CF7">
        <w:rPr>
          <w:rFonts w:ascii="Times New Roman" w:hAnsi="Times New Roman"/>
          <w:sz w:val="24"/>
          <w:szCs w:val="24"/>
        </w:rPr>
        <w:t xml:space="preserve"> для детей в возрасте 5 лет.</w:t>
      </w:r>
    </w:p>
    <w:p w:rsidR="00853AC0" w:rsidRPr="005E5CF7" w:rsidRDefault="00853AC0" w:rsidP="006844F6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CF7">
        <w:rPr>
          <w:rFonts w:ascii="Times New Roman" w:hAnsi="Times New Roman"/>
          <w:sz w:val="24"/>
          <w:szCs w:val="24"/>
        </w:rPr>
        <w:t xml:space="preserve">доказано наличие избыточной массы тела и нарушений </w:t>
      </w:r>
      <w:r w:rsidRPr="005E5CF7">
        <w:rPr>
          <w:rFonts w:ascii="Times New Roman" w:hAnsi="Times New Roman"/>
          <w:color w:val="000000"/>
          <w:sz w:val="24"/>
          <w:szCs w:val="24"/>
        </w:rPr>
        <w:t xml:space="preserve">композиционного варьирования состава тела, железодефицитной анемии, гиповитаминозных состояний, частых рецидивов хронических заболеваний; </w:t>
      </w:r>
    </w:p>
    <w:p w:rsidR="00853AC0" w:rsidRPr="005E5CF7" w:rsidRDefault="00853AC0" w:rsidP="006844F6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CF7">
        <w:rPr>
          <w:rFonts w:ascii="Times New Roman" w:hAnsi="Times New Roman"/>
          <w:color w:val="000000"/>
          <w:sz w:val="24"/>
          <w:szCs w:val="24"/>
        </w:rPr>
        <w:t xml:space="preserve">показано, что в основе указанных пограничных и патологических состояний лежит дисбаланс пищевых веществ, обусловленный неадекватной энергетической и пищевой ценностью рационов питания в основном из-за недостаточного потребления продуктов животного происхождения, овощей и фруктов; </w:t>
      </w:r>
    </w:p>
    <w:p w:rsidR="00853AC0" w:rsidRPr="005E5CF7" w:rsidRDefault="00853AC0" w:rsidP="006844F6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CF7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установлена приоритетность факторов, обусловленных образом жизни, в формировании новых случаев функциональных отклонений вегетативной и </w:t>
      </w:r>
      <w:proofErr w:type="spellStart"/>
      <w:proofErr w:type="gramStart"/>
      <w:r w:rsidRPr="005E5CF7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5E5CF7">
        <w:rPr>
          <w:rFonts w:ascii="Times New Roman" w:hAnsi="Times New Roman"/>
          <w:color w:val="000000"/>
          <w:sz w:val="24"/>
          <w:szCs w:val="24"/>
        </w:rPr>
        <w:t xml:space="preserve"> системы за период обучения в школе; </w:t>
      </w:r>
    </w:p>
    <w:p w:rsidR="006844F6" w:rsidRPr="005E5CF7" w:rsidRDefault="006844F6" w:rsidP="006844F6">
      <w:pPr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5CF7">
        <w:rPr>
          <w:rFonts w:ascii="Times New Roman" w:hAnsi="Times New Roman" w:cs="Times New Roman"/>
          <w:snapToGrid w:val="0"/>
          <w:sz w:val="24"/>
          <w:szCs w:val="24"/>
        </w:rPr>
        <w:t>В последние годы наметилась явная тенденция к ухудшению показателей их физического развития и общего состояния здоровья [4]. Процессы роста и полового созревания в силу своей «</w:t>
      </w:r>
      <w:proofErr w:type="spellStart"/>
      <w:r w:rsidRPr="005E5CF7">
        <w:rPr>
          <w:rFonts w:ascii="Times New Roman" w:hAnsi="Times New Roman" w:cs="Times New Roman"/>
          <w:snapToGrid w:val="0"/>
          <w:sz w:val="24"/>
          <w:szCs w:val="24"/>
        </w:rPr>
        <w:t>экосенситивности</w:t>
      </w:r>
      <w:proofErr w:type="spellEnd"/>
      <w:r w:rsidRPr="005E5CF7">
        <w:rPr>
          <w:rFonts w:ascii="Times New Roman" w:hAnsi="Times New Roman" w:cs="Times New Roman"/>
          <w:snapToGrid w:val="0"/>
          <w:sz w:val="24"/>
          <w:szCs w:val="24"/>
        </w:rPr>
        <w:t xml:space="preserve">» могут рассматриваться как основные характеристики уровня здоровья населения и качества среды, как «чувствительный индикатор состояния общества» [5], как «зеркальное отражение происходящих в обществе процессов», прежде всего, изменений питания [6]. </w:t>
      </w:r>
    </w:p>
    <w:p w:rsidR="005E5CF7" w:rsidRDefault="006844F6" w:rsidP="006844F6">
      <w:pPr>
        <w:autoSpaceDE w:val="0"/>
        <w:autoSpaceDN w:val="0"/>
        <w:adjustRightInd w:val="0"/>
        <w:jc w:val="both"/>
        <w:rPr>
          <w:snapToGrid w:val="0"/>
        </w:rPr>
      </w:pPr>
      <w:r w:rsidRPr="005E5CF7">
        <w:rPr>
          <w:rFonts w:ascii="Times New Roman" w:hAnsi="Times New Roman" w:cs="Times New Roman"/>
          <w:snapToGrid w:val="0"/>
          <w:sz w:val="24"/>
          <w:szCs w:val="24"/>
        </w:rPr>
        <w:t xml:space="preserve">Различные пищевые нарушения, получившие наиболее широкое распространение среди детей </w:t>
      </w:r>
      <w:r w:rsidR="005E5CF7" w:rsidRPr="005E5CF7">
        <w:rPr>
          <w:rFonts w:ascii="Times New Roman" w:hAnsi="Times New Roman" w:cs="Times New Roman"/>
          <w:snapToGrid w:val="0"/>
          <w:sz w:val="24"/>
          <w:szCs w:val="24"/>
        </w:rPr>
        <w:t>до</w:t>
      </w:r>
      <w:r w:rsidRPr="005E5CF7">
        <w:rPr>
          <w:rFonts w:ascii="Times New Roman" w:hAnsi="Times New Roman" w:cs="Times New Roman"/>
          <w:snapToGrid w:val="0"/>
          <w:sz w:val="24"/>
          <w:szCs w:val="24"/>
        </w:rPr>
        <w:t>школьного возраста, являются главными факторами риска психосоциальной дисадаптации и развития ряда алиментарных расстройств (гипотрофия, железодефицитная анемия и др.), получивших в последнее десятилетие статус «школьных болезней» [7].</w:t>
      </w:r>
      <w:r w:rsidRPr="006844F6">
        <w:rPr>
          <w:snapToGrid w:val="0"/>
        </w:rPr>
        <w:t xml:space="preserve"> </w:t>
      </w:r>
    </w:p>
    <w:p w:rsidR="006844F6" w:rsidRPr="006844F6" w:rsidRDefault="006844F6" w:rsidP="00F0145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F01451">
        <w:rPr>
          <w:rFonts w:ascii="Times New Roman" w:hAnsi="Times New Roman" w:cs="Times New Roman"/>
          <w:snapToGrid w:val="0"/>
          <w:sz w:val="24"/>
          <w:szCs w:val="24"/>
        </w:rPr>
        <w:t xml:space="preserve">Пищевые дисбалансы и обусловленные ими проявления обменных нарушений у  крохи чаще всего начинаются с третьего или четвертого месяца жизни, когда из-за преждевременного ввода прикорма еще до конца несформированная пищеварительная система детского организма начинает испытывать дискомфорт. Эти первые «ростки нездоровья» у малыша при последующих нарушениях питания в дошкольные и школьные годы могут служить промотором развития и прогрессирования </w:t>
      </w:r>
      <w:proofErr w:type="spellStart"/>
      <w:proofErr w:type="gramStart"/>
      <w:r w:rsidRPr="00F01451">
        <w:rPr>
          <w:rFonts w:ascii="Times New Roman" w:hAnsi="Times New Roman" w:cs="Times New Roman"/>
          <w:snapToGrid w:val="0"/>
          <w:sz w:val="24"/>
          <w:szCs w:val="24"/>
        </w:rPr>
        <w:t>морфо-функциональных</w:t>
      </w:r>
      <w:proofErr w:type="spellEnd"/>
      <w:proofErr w:type="gramEnd"/>
      <w:r w:rsidRPr="00F01451">
        <w:rPr>
          <w:rFonts w:ascii="Times New Roman" w:hAnsi="Times New Roman" w:cs="Times New Roman"/>
          <w:snapToGrid w:val="0"/>
          <w:sz w:val="24"/>
          <w:szCs w:val="24"/>
        </w:rPr>
        <w:t xml:space="preserve"> расстройств в различных органах и тканях, способствуя учащению хронических болезней в периоде взрослости</w:t>
      </w:r>
      <w:r w:rsidRPr="006844F6">
        <w:rPr>
          <w:snapToGrid w:val="0"/>
        </w:rPr>
        <w:t xml:space="preserve">. </w:t>
      </w:r>
    </w:p>
    <w:p w:rsidR="006844F6" w:rsidRPr="00F01451" w:rsidRDefault="006844F6" w:rsidP="00F014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1451">
        <w:rPr>
          <w:rFonts w:ascii="Times New Roman" w:hAnsi="Times New Roman" w:cs="Times New Roman"/>
          <w:snapToGrid w:val="0"/>
          <w:sz w:val="24"/>
          <w:szCs w:val="24"/>
        </w:rPr>
        <w:t xml:space="preserve">Значительный вклад в снижение потенциала здоровья ребенка раннего и школьного возрастов вносит незнание родителями и самими детьми основ сбалансированного рационального питания [8, 9], недостатки в организации горячего питания в школе [10]    и отсутствие научно-обоснованных норм потребления продовольственных продуктов [11]. </w:t>
      </w:r>
    </w:p>
    <w:p w:rsidR="006844F6" w:rsidRPr="000608CB" w:rsidRDefault="006844F6" w:rsidP="006844F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При анализе данных, что 5-летние сельские дошкольники </w:t>
      </w:r>
      <w:proofErr w:type="spell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в отличие от своих городских сверстников в </w:t>
      </w:r>
      <w:proofErr w:type="gram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, в 2 раза больше потребляют хлеба и гораздо меньше едят яйца и овощи, а рыбу практически не видят. Городские дети в 2 раза больше потребляют молоко и кисломолочные продукты, но при этом следует подчеркнуть, что большинство сельских дошкольников пьют натуральное более жирное коровье молоко. И все же, главным отличием </w:t>
      </w:r>
      <w:r w:rsidRPr="000608CB">
        <w:rPr>
          <w:rFonts w:ascii="Times New Roman" w:hAnsi="Times New Roman" w:cs="Times New Roman"/>
          <w:bCs/>
          <w:sz w:val="24"/>
          <w:szCs w:val="24"/>
        </w:rPr>
        <w:t xml:space="preserve">структуры питания 5-летних дошкольников мегаполиса является большее разнообразие меню и продуктового набора. </w:t>
      </w:r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Все эти особенности питания обусловили специфику </w:t>
      </w:r>
      <w:proofErr w:type="spell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энергоценности</w:t>
      </w:r>
      <w:proofErr w:type="spellEnd"/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 рационов городских и сельских детей, уровень потребления белков, жиров, углеводов и частоту дефицита отдельных </w:t>
      </w:r>
      <w:proofErr w:type="spell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микр</w:t>
      </w:r>
      <w:r w:rsidR="000608CB">
        <w:rPr>
          <w:rFonts w:ascii="Times New Roman" w:hAnsi="Times New Roman" w:cs="Times New Roman"/>
          <w:color w:val="000000"/>
          <w:sz w:val="24"/>
          <w:szCs w:val="24"/>
        </w:rPr>
        <w:t>онутриентов</w:t>
      </w:r>
      <w:proofErr w:type="spellEnd"/>
      <w:r w:rsidR="000608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44F6" w:rsidRPr="0085194E" w:rsidRDefault="006844F6" w:rsidP="00851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4E">
        <w:rPr>
          <w:rFonts w:ascii="Times New Roman" w:hAnsi="Times New Roman" w:cs="Times New Roman"/>
          <w:sz w:val="24"/>
          <w:szCs w:val="24"/>
        </w:rPr>
        <w:t xml:space="preserve">В основе большей калорийности рационов питания сельских дошкольников лежит, как отмечалось выше, более высокий уровень потребления углеводов в основном за счет мучных и крупяных продуктов. </w:t>
      </w:r>
    </w:p>
    <w:p w:rsidR="006844F6" w:rsidRDefault="006844F6" w:rsidP="006844F6">
      <w:pPr>
        <w:jc w:val="both"/>
      </w:pPr>
      <w:r>
        <w:lastRenderedPageBreak/>
        <w:t xml:space="preserve">У 5-летних детей чаще всего обнаруживался дефицит </w:t>
      </w:r>
      <w:proofErr w:type="spellStart"/>
      <w:r>
        <w:t>фолата</w:t>
      </w:r>
      <w:proofErr w:type="spellEnd"/>
      <w:r>
        <w:t>, витамина</w:t>
      </w:r>
      <w:proofErr w:type="gramStart"/>
      <w:r>
        <w:t xml:space="preserve"> А</w:t>
      </w:r>
      <w:proofErr w:type="gramEnd"/>
      <w:r>
        <w:t xml:space="preserve">, кальция и цинка. Процент детей с дефицитом </w:t>
      </w:r>
      <w:proofErr w:type="spellStart"/>
      <w:r>
        <w:t>фолата</w:t>
      </w:r>
      <w:proofErr w:type="spellEnd"/>
      <w:r>
        <w:t xml:space="preserve"> и витамина</w:t>
      </w:r>
      <w:proofErr w:type="gramStart"/>
      <w:r>
        <w:t xml:space="preserve"> А</w:t>
      </w:r>
      <w:proofErr w:type="gramEnd"/>
      <w:r>
        <w:t xml:space="preserve"> был выше среди сельских детей, а с дефицитом цинка – среди городских дошкольников. Интересно заметить, что незначительный процент дефицита кальция был обнаружен лишь среди городских детей.   </w:t>
      </w:r>
    </w:p>
    <w:p w:rsidR="006844F6" w:rsidRPr="006844F6" w:rsidRDefault="006844F6" w:rsidP="006844F6">
      <w:pPr>
        <w:jc w:val="both"/>
        <w:rPr>
          <w:bCs/>
        </w:rPr>
      </w:pPr>
      <w:r w:rsidRPr="006844F6">
        <w:rPr>
          <w:bCs/>
        </w:rPr>
        <w:t xml:space="preserve">Примерно у 7% городских и 10,5% сельских обследованных дошкольников имелись те или иные проявления </w:t>
      </w:r>
      <w:proofErr w:type="spellStart"/>
      <w:r w:rsidRPr="006844F6">
        <w:rPr>
          <w:bCs/>
        </w:rPr>
        <w:t>полинутриентной</w:t>
      </w:r>
      <w:proofErr w:type="spellEnd"/>
      <w:r w:rsidRPr="006844F6">
        <w:rPr>
          <w:bCs/>
        </w:rPr>
        <w:t xml:space="preserve"> недостаточности, что указывает на необходимость, с одной стороны, рационализации питания детей дома и в детских садиках, а с другой, - на важность усиления работы по своевременному выявлению </w:t>
      </w:r>
      <w:proofErr w:type="spellStart"/>
      <w:r w:rsidRPr="006844F6">
        <w:rPr>
          <w:bCs/>
        </w:rPr>
        <w:t>алиментарно</w:t>
      </w:r>
      <w:proofErr w:type="spellEnd"/>
      <w:r w:rsidRPr="006844F6">
        <w:rPr>
          <w:bCs/>
        </w:rPr>
        <w:t xml:space="preserve"> обусловленных состояний и болезней.</w:t>
      </w:r>
    </w:p>
    <w:p w:rsidR="00127875" w:rsidRPr="00C42277" w:rsidRDefault="00127875" w:rsidP="00127875">
      <w:pPr>
        <w:jc w:val="both"/>
        <w:rPr>
          <w:bCs/>
        </w:rPr>
      </w:pPr>
      <w:r>
        <w:rPr>
          <w:bCs/>
        </w:rPr>
        <w:t>Анализ результатов определения гемоглобина в капиллярной крови у 5-летних  детей показал (рисунок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, что в сельских районах </w:t>
      </w:r>
      <w:proofErr w:type="spellStart"/>
      <w:r>
        <w:rPr>
          <w:bCs/>
        </w:rPr>
        <w:t>Алматинской</w:t>
      </w:r>
      <w:proofErr w:type="spellEnd"/>
      <w:r>
        <w:rPr>
          <w:bCs/>
        </w:rPr>
        <w:t xml:space="preserve"> области железодефицитной анемией страдает 25% мальчиков и 30% девочек. В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</w:t>
      </w:r>
      <w:proofErr w:type="spellStart"/>
      <w:r>
        <w:rPr>
          <w:bCs/>
        </w:rPr>
        <w:t>Алматы</w:t>
      </w:r>
      <w:proofErr w:type="spellEnd"/>
      <w:r>
        <w:rPr>
          <w:bCs/>
        </w:rPr>
        <w:t xml:space="preserve"> анемия встречается реже - у 18% мальчиков и 8% девочек.  </w:t>
      </w:r>
    </w:p>
    <w:p w:rsidR="00127875" w:rsidRDefault="00127875" w:rsidP="00127875">
      <w:pPr>
        <w:jc w:val="both"/>
      </w:pPr>
      <w:r>
        <w:rPr>
          <w:bCs/>
          <w:noProof/>
        </w:rPr>
        <w:drawing>
          <wp:anchor distT="0" distB="1524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47625</wp:posOffset>
            </wp:positionV>
            <wp:extent cx="5887720" cy="2692400"/>
            <wp:effectExtent l="19050" t="0" r="17780" b="0"/>
            <wp:wrapSquare wrapText="bothSides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bCs/>
        </w:rPr>
        <w:t xml:space="preserve"> </w:t>
      </w:r>
      <w:r>
        <w:t xml:space="preserve"> </w:t>
      </w:r>
    </w:p>
    <w:p w:rsidR="00127875" w:rsidRDefault="00127875" w:rsidP="00127875">
      <w:pPr>
        <w:jc w:val="both"/>
      </w:pPr>
      <w:r>
        <w:t xml:space="preserve">         </w:t>
      </w:r>
      <w:r w:rsidRPr="006E7FEE">
        <w:t>Рисунок</w:t>
      </w:r>
      <w:r>
        <w:t xml:space="preserve"> 1 </w:t>
      </w:r>
      <w:r w:rsidRPr="006E7FEE">
        <w:t>–</w:t>
      </w:r>
      <w:r>
        <w:t xml:space="preserve"> </w:t>
      </w:r>
      <w:r w:rsidRPr="006E7FEE">
        <w:t>Ч</w:t>
      </w:r>
      <w:r w:rsidRPr="006E7FEE">
        <w:rPr>
          <w:bCs/>
        </w:rPr>
        <w:t xml:space="preserve">астота анемии </w:t>
      </w:r>
      <w:r>
        <w:rPr>
          <w:bCs/>
        </w:rPr>
        <w:t>у</w:t>
      </w:r>
      <w:r w:rsidRPr="006E7FEE">
        <w:rPr>
          <w:bCs/>
        </w:rPr>
        <w:t xml:space="preserve"> 5-летних детей </w:t>
      </w:r>
      <w:proofErr w:type="gramStart"/>
      <w:r w:rsidRPr="006E7FEE">
        <w:rPr>
          <w:bCs/>
        </w:rPr>
        <w:t>в</w:t>
      </w:r>
      <w:proofErr w:type="gramEnd"/>
      <w:r w:rsidRPr="006E7FEE">
        <w:rPr>
          <w:bCs/>
        </w:rPr>
        <w:t xml:space="preserve"> </w:t>
      </w:r>
      <w:r w:rsidRPr="006E7FEE">
        <w:t>городских и сельских</w:t>
      </w:r>
      <w:r>
        <w:t xml:space="preserve">                             </w:t>
      </w:r>
      <w:r w:rsidRPr="006E7FEE">
        <w:t xml:space="preserve"> </w:t>
      </w:r>
      <w:r>
        <w:t xml:space="preserve">               </w:t>
      </w:r>
    </w:p>
    <w:p w:rsidR="00127875" w:rsidRDefault="00127875" w:rsidP="00127875">
      <w:pPr>
        <w:jc w:val="both"/>
      </w:pPr>
      <w:r>
        <w:t xml:space="preserve">                              </w:t>
      </w:r>
      <w:r w:rsidRPr="006E7FEE">
        <w:t>детских садах</w:t>
      </w:r>
      <w:proofErr w:type="gramStart"/>
      <w:r w:rsidRPr="006E7FEE">
        <w:t xml:space="preserve"> (%)</w:t>
      </w:r>
      <w:proofErr w:type="gramEnd"/>
    </w:p>
    <w:p w:rsidR="00127875" w:rsidRDefault="00127875" w:rsidP="008F2928">
      <w:pPr>
        <w:ind w:firstLine="709"/>
        <w:jc w:val="both"/>
      </w:pPr>
      <w:r>
        <w:t xml:space="preserve">Данные 2 рисунка указывает на наличие у 5-летних городских детей отдельных случаев (6% у мальчиков и 3% у девочек) нарушений толерантности к глюкозе, которые можно предположительно трактовать как </w:t>
      </w:r>
      <w:proofErr w:type="spellStart"/>
      <w:r>
        <w:t>преддиабетическое</w:t>
      </w:r>
      <w:proofErr w:type="spellEnd"/>
      <w:r>
        <w:t xml:space="preserve"> состояние. Любое    повышение   уровня   сахара   в  крови   в  столь  раннем  возрасте  должно  настораживать</w:t>
      </w:r>
      <w:r w:rsidRPr="00E36F17">
        <w:t xml:space="preserve"> </w:t>
      </w:r>
      <w:r>
        <w:t xml:space="preserve">врачей. Дело в том, что метаболическая группировка нарушений (или «синдром Х») по признаку </w:t>
      </w:r>
      <w:proofErr w:type="spellStart"/>
      <w:r>
        <w:t>резистентности</w:t>
      </w:r>
      <w:proofErr w:type="spellEnd"/>
      <w:r>
        <w:t xml:space="preserve"> к инсулину, в том числе </w:t>
      </w:r>
      <w:proofErr w:type="spellStart"/>
      <w:r>
        <w:t>гиперинсулинемия</w:t>
      </w:r>
      <w:proofErr w:type="spellEnd"/>
      <w:r>
        <w:t xml:space="preserve"> и ослабленная толерантность к глюкозе, происходит уже в детстве и ассоциируется с атеросклерозом в юности</w:t>
      </w:r>
      <w:r w:rsidRPr="002C6624">
        <w:t xml:space="preserve"> </w:t>
      </w:r>
      <w:r w:rsidRPr="00D301D7">
        <w:t>[</w:t>
      </w:r>
      <w:r>
        <w:t>13, 14</w:t>
      </w:r>
      <w:r w:rsidRPr="00D301D7">
        <w:t>]</w:t>
      </w:r>
      <w:r>
        <w:t xml:space="preserve">.  </w:t>
      </w:r>
    </w:p>
    <w:p w:rsidR="00A126B9" w:rsidRDefault="00A126B9" w:rsidP="00127875">
      <w:pPr>
        <w:jc w:val="both"/>
      </w:pPr>
      <w:r>
        <w:rPr>
          <w:noProof/>
        </w:rPr>
        <w:t>В г. Алматы среди 5-летних детей нарушение осанки выявлено у 17% мальчиков и 11% девочек (рисунок 26). Среди сельских дошкольников в Алматинской области в этом возрасте сколиоз выявлен у 2% мальчиков и у 1% девочек. Доминирующими видами сколиоза были общий левосторонний и грудной</w:t>
      </w:r>
    </w:p>
    <w:p w:rsidR="00127875" w:rsidRDefault="00127875" w:rsidP="00127875"/>
    <w:p w:rsidR="00127875" w:rsidRDefault="00127875" w:rsidP="00127875"/>
    <w:sectPr w:rsidR="00127875" w:rsidSect="006844F6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2F45"/>
    <w:multiLevelType w:val="hybridMultilevel"/>
    <w:tmpl w:val="0F30EF76"/>
    <w:lvl w:ilvl="0" w:tplc="74E4C4D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1F3BB2"/>
    <w:multiLevelType w:val="hybridMultilevel"/>
    <w:tmpl w:val="6E7AC516"/>
    <w:lvl w:ilvl="0" w:tplc="0419000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53AC0"/>
    <w:rsid w:val="00013A05"/>
    <w:rsid w:val="000608CB"/>
    <w:rsid w:val="00127875"/>
    <w:rsid w:val="005E5CF7"/>
    <w:rsid w:val="006844F6"/>
    <w:rsid w:val="00781952"/>
    <w:rsid w:val="0085194E"/>
    <w:rsid w:val="00853AC0"/>
    <w:rsid w:val="008922BE"/>
    <w:rsid w:val="008F2928"/>
    <w:rsid w:val="00A126B9"/>
    <w:rsid w:val="00B80634"/>
    <w:rsid w:val="00C57F9F"/>
    <w:rsid w:val="00F0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A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&#1056;&#1072;&#1073;&#1086;&#1095;&#1080;&#1081;%20&#1089;&#1090;&#1086;&#1083;\&#1076;&#1072;&#1075;&#1088;&#1072;&#1084;&#1084;&#1072;%20&#1080;&#1089;&#1087;&#1088;&#1072;&#1074;&#108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accent5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c:spPr>
    </c:floor>
    <c:sideWall>
      <c:spPr>
        <a:solidFill>
          <a:schemeClr val="bg1"/>
        </a:solidFill>
      </c:spPr>
    </c:sideWall>
    <c:backWall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8.8237014653611084E-2"/>
          <c:y val="0.18041344831896514"/>
          <c:w val="0.89946286234515849"/>
          <c:h val="0.59145048441182757"/>
        </c:manualLayout>
      </c:layout>
      <c:bar3DChart>
        <c:barDir val="col"/>
        <c:grouping val="clustered"/>
        <c:ser>
          <c:idx val="0"/>
          <c:order val="0"/>
          <c:tx>
            <c:strRef>
              <c:f>Hb!$B$74</c:f>
              <c:strCache>
                <c:ptCount val="1"/>
                <c:pt idx="0">
                  <c:v>Hb&lt;11,5 г/л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2222222222222344E-3"/>
                  <c:y val="-2.60707635009312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2221936776665248E-3"/>
                  <c:y val="-2.16216216216216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6.6666666666666749E-3"/>
                  <c:y val="-2.9325943202478119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8.1480540211338014E-17"/>
                  <c:y val="6.827978230000530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Val val="1"/>
            </c:dLbl>
            <c:showVal val="1"/>
          </c:dLbls>
          <c:cat>
            <c:strRef>
              <c:f>Hb!$C$73:$G$73</c:f>
              <c:strCache>
                <c:ptCount val="5"/>
                <c:pt idx="0">
                  <c:v>М</c:v>
                </c:pt>
                <c:pt idx="1">
                  <c:v>Д</c:v>
                </c:pt>
                <c:pt idx="3">
                  <c:v>М</c:v>
                </c:pt>
                <c:pt idx="4">
                  <c:v>Д</c:v>
                </c:pt>
              </c:strCache>
            </c:strRef>
          </c:cat>
          <c:val>
            <c:numRef>
              <c:f>Hb!$C$74:$G$74</c:f>
              <c:numCache>
                <c:formatCode>General</c:formatCode>
                <c:ptCount val="5"/>
                <c:pt idx="0">
                  <c:v>18.100000000000001</c:v>
                </c:pt>
                <c:pt idx="1">
                  <c:v>8.5</c:v>
                </c:pt>
                <c:pt idx="3">
                  <c:v>25.3</c:v>
                </c:pt>
                <c:pt idx="4">
                  <c:v>30.7</c:v>
                </c:pt>
              </c:numCache>
            </c:numRef>
          </c:val>
        </c:ser>
        <c:ser>
          <c:idx val="1"/>
          <c:order val="1"/>
          <c:tx>
            <c:strRef>
              <c:f>Hb!$B$75</c:f>
              <c:strCache>
                <c:ptCount val="1"/>
                <c:pt idx="0">
                  <c:v>Hb&gt;11,5 г/л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1111111111111184E-2"/>
                  <c:y val="-4.629629629629704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7.7774209708288949E-3"/>
                  <c:y val="-1.08108108108108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1111111111111144E-2"/>
                  <c:y val="-3.72439478584765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8.8889459780007278E-3"/>
                  <c:y val="-1.44144144144144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Hb!$C$73:$G$73</c:f>
              <c:strCache>
                <c:ptCount val="5"/>
                <c:pt idx="0">
                  <c:v>М</c:v>
                </c:pt>
                <c:pt idx="1">
                  <c:v>Д</c:v>
                </c:pt>
                <c:pt idx="3">
                  <c:v>М</c:v>
                </c:pt>
                <c:pt idx="4">
                  <c:v>Д</c:v>
                </c:pt>
              </c:strCache>
            </c:strRef>
          </c:cat>
          <c:val>
            <c:numRef>
              <c:f>Hb!$C$75:$G$75</c:f>
              <c:numCache>
                <c:formatCode>General</c:formatCode>
                <c:ptCount val="5"/>
                <c:pt idx="0">
                  <c:v>81.900000000000006</c:v>
                </c:pt>
                <c:pt idx="1">
                  <c:v>91.5</c:v>
                </c:pt>
                <c:pt idx="3">
                  <c:v>74.7</c:v>
                </c:pt>
                <c:pt idx="4">
                  <c:v>69.3</c:v>
                </c:pt>
              </c:numCache>
            </c:numRef>
          </c:val>
        </c:ser>
        <c:shape val="box"/>
        <c:axId val="63686144"/>
        <c:axId val="108253184"/>
        <c:axId val="0"/>
      </c:bar3DChart>
      <c:catAx>
        <c:axId val="63686144"/>
        <c:scaling>
          <c:orientation val="minMax"/>
        </c:scaling>
        <c:axPos val="b"/>
        <c:majorTickMark val="none"/>
        <c:tickLblPos val="nextTo"/>
        <c:crossAx val="108253184"/>
        <c:crosses val="autoZero"/>
        <c:auto val="1"/>
        <c:lblAlgn val="ctr"/>
        <c:lblOffset val="100"/>
      </c:catAx>
      <c:valAx>
        <c:axId val="108253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63686144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legend>
      <c:legendPos val="r"/>
      <c:layout>
        <c:manualLayout>
          <c:xMode val="edge"/>
          <c:yMode val="edge"/>
          <c:x val="0.20899640122304344"/>
          <c:y val="0.91774259126700053"/>
          <c:w val="0.56505776984061229"/>
          <c:h val="7.925783822476741E-2"/>
        </c:manualLayout>
      </c:layout>
      <c:spPr>
        <a:solidFill>
          <a:srgbClr val="FFFF00"/>
        </a:solidFill>
        <a:ln>
          <a:solidFill>
            <a:schemeClr val="tx1"/>
          </a:solidFill>
        </a:ln>
      </c:spPr>
      <c:txPr>
        <a:bodyPr/>
        <a:lstStyle/>
        <a:p>
          <a:pPr>
            <a:defRPr sz="1050"/>
          </a:pPr>
          <a:endParaRPr lang="ru-RU"/>
        </a:p>
      </c:txPr>
    </c:legend>
    <c:plotVisOnly val="1"/>
  </c:chart>
  <c:spPr>
    <a:gradFill flip="none" rotWithShape="1">
      <a:gsLst>
        <a:gs pos="0">
          <a:schemeClr val="accent6">
            <a:lumMod val="60000"/>
            <a:lumOff val="40000"/>
          </a:schemeClr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16200000" scaled="1"/>
      <a:tileRect/>
    </a:gradFill>
  </c:spPr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0.17588</cdr:x>
      <cdr:y>0</cdr:y>
    </cdr:from>
    <cdr:to>
      <cdr:x>0.94649</cdr:x>
      <cdr:y>0.12381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7987" y="0"/>
          <a:ext cx="3978338" cy="2476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  <a:ln xmlns:a="http://schemas.openxmlformats.org/drawingml/2006/main">
          <a:solidFill>
            <a:schemeClr val="accent1"/>
          </a:solidFill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           г. Алматы                                                          Алматинская обл.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4</cp:revision>
  <dcterms:created xsi:type="dcterms:W3CDTF">2011-11-23T01:02:00Z</dcterms:created>
  <dcterms:modified xsi:type="dcterms:W3CDTF">2011-11-23T06:36:00Z</dcterms:modified>
</cp:coreProperties>
</file>