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76" w:rsidRPr="006C69B9" w:rsidRDefault="00CE0C76" w:rsidP="006C69B9">
      <w:pPr>
        <w:spacing w:after="0" w:line="240" w:lineRule="auto"/>
        <w:jc w:val="center"/>
        <w:rPr>
          <w:rFonts w:ascii="Times New Roman" w:hAnsi="Times New Roman"/>
          <w:b/>
          <w:bCs/>
          <w:sz w:val="28"/>
          <w:szCs w:val="28"/>
          <w:lang w:eastAsia="ru-RU"/>
        </w:rPr>
      </w:pPr>
      <w:r w:rsidRPr="006C69B9">
        <w:rPr>
          <w:rFonts w:ascii="Times New Roman" w:hAnsi="Times New Roman"/>
          <w:b/>
          <w:bCs/>
          <w:sz w:val="28"/>
          <w:szCs w:val="28"/>
          <w:lang w:eastAsia="ru-RU"/>
        </w:rPr>
        <w:t xml:space="preserve">КОМПЛЕКСНОЕ ЛЕЧЕНИЕ БОЛЬНЫХ С </w:t>
      </w:r>
      <w:r w:rsidR="00A14DDF" w:rsidRPr="006C69B9">
        <w:rPr>
          <w:rFonts w:ascii="Times New Roman" w:hAnsi="Times New Roman"/>
          <w:b/>
          <w:bCs/>
          <w:sz w:val="28"/>
          <w:szCs w:val="28"/>
          <w:lang w:eastAsia="ru-RU"/>
        </w:rPr>
        <w:t>И</w:t>
      </w:r>
      <w:r w:rsidRPr="006C69B9">
        <w:rPr>
          <w:rFonts w:ascii="Times New Roman" w:hAnsi="Times New Roman"/>
          <w:b/>
          <w:bCs/>
          <w:sz w:val="28"/>
          <w:szCs w:val="28"/>
          <w:lang w:eastAsia="ru-RU"/>
        </w:rPr>
        <w:t>НТРААБДОМИНАЛЬНОЙ ИНФЕКЦИЕЙ</w:t>
      </w:r>
    </w:p>
    <w:p w:rsidR="00CE0C76" w:rsidRPr="006C69B9" w:rsidRDefault="00CE0C76" w:rsidP="006C69B9">
      <w:pPr>
        <w:spacing w:after="0" w:line="240" w:lineRule="auto"/>
        <w:jc w:val="center"/>
        <w:rPr>
          <w:rFonts w:ascii="Times New Roman" w:hAnsi="Times New Roman"/>
          <w:i/>
          <w:color w:val="000000"/>
          <w:sz w:val="28"/>
          <w:szCs w:val="28"/>
        </w:rPr>
      </w:pPr>
      <w:r w:rsidRPr="006C69B9">
        <w:rPr>
          <w:rFonts w:ascii="Times New Roman" w:hAnsi="Times New Roman"/>
          <w:i/>
          <w:color w:val="000000"/>
          <w:sz w:val="28"/>
          <w:szCs w:val="28"/>
        </w:rPr>
        <w:t>С.Б. Рахов</w:t>
      </w:r>
    </w:p>
    <w:p w:rsidR="00CE0C76" w:rsidRPr="006C69B9" w:rsidRDefault="00CE0C76" w:rsidP="006C69B9">
      <w:pPr>
        <w:spacing w:after="0" w:line="240" w:lineRule="auto"/>
        <w:jc w:val="center"/>
        <w:rPr>
          <w:rFonts w:ascii="Times New Roman" w:hAnsi="Times New Roman"/>
          <w:i/>
          <w:color w:val="000000"/>
          <w:sz w:val="28"/>
          <w:szCs w:val="28"/>
        </w:rPr>
      </w:pPr>
      <w:r w:rsidRPr="006C69B9">
        <w:rPr>
          <w:rFonts w:ascii="Times New Roman" w:hAnsi="Times New Roman"/>
          <w:i/>
          <w:color w:val="000000"/>
          <w:sz w:val="28"/>
          <w:szCs w:val="28"/>
        </w:rPr>
        <w:t>Алматинская многопрофильная клиническая больница</w:t>
      </w:r>
      <w:r w:rsidR="00A14DDF" w:rsidRPr="006C69B9">
        <w:rPr>
          <w:rFonts w:ascii="Times New Roman" w:hAnsi="Times New Roman"/>
          <w:i/>
          <w:color w:val="000000"/>
          <w:sz w:val="28"/>
          <w:szCs w:val="28"/>
        </w:rPr>
        <w:t xml:space="preserve"> г. Алматы.</w:t>
      </w:r>
    </w:p>
    <w:p w:rsidR="00CE0C76" w:rsidRPr="006C69B9" w:rsidRDefault="00CE0C76" w:rsidP="006C69B9">
      <w:pPr>
        <w:spacing w:after="0" w:line="240" w:lineRule="auto"/>
        <w:ind w:firstLine="708"/>
        <w:jc w:val="center"/>
        <w:rPr>
          <w:rFonts w:ascii="Times New Roman" w:hAnsi="Times New Roman"/>
          <w:color w:val="000000"/>
          <w:sz w:val="28"/>
          <w:szCs w:val="28"/>
        </w:rPr>
      </w:pPr>
    </w:p>
    <w:p w:rsidR="00CE0C76" w:rsidRPr="006C69B9" w:rsidRDefault="00BB3671" w:rsidP="006C69B9">
      <w:pPr>
        <w:spacing w:after="0" w:line="240" w:lineRule="auto"/>
        <w:ind w:firstLine="708"/>
        <w:jc w:val="both"/>
        <w:rPr>
          <w:rFonts w:ascii="Times New Roman" w:hAnsi="Times New Roman"/>
          <w:color w:val="000000"/>
          <w:sz w:val="28"/>
          <w:szCs w:val="28"/>
        </w:rPr>
      </w:pPr>
      <w:r w:rsidRPr="006C69B9">
        <w:rPr>
          <w:rFonts w:ascii="Times New Roman" w:hAnsi="Times New Roman"/>
          <w:b/>
          <w:color w:val="000000"/>
          <w:sz w:val="28"/>
          <w:szCs w:val="28"/>
        </w:rPr>
        <w:t>Ключевые слова;</w:t>
      </w:r>
      <w:r w:rsidRPr="006C69B9">
        <w:rPr>
          <w:rFonts w:ascii="Times New Roman" w:hAnsi="Times New Roman"/>
          <w:color w:val="000000"/>
          <w:sz w:val="28"/>
          <w:szCs w:val="28"/>
        </w:rPr>
        <w:t xml:space="preserve"> интраабдоминальная инфекция, сепсис, антибактериальная терапия, лейкоцитарная масса, лимфоциты, экстракорпоральная иммунофармакотерапия.</w:t>
      </w:r>
    </w:p>
    <w:p w:rsidR="00BB3671" w:rsidRPr="006C69B9" w:rsidRDefault="00425165" w:rsidP="006C69B9">
      <w:pPr>
        <w:spacing w:after="0" w:line="240" w:lineRule="auto"/>
        <w:ind w:firstLine="709"/>
        <w:jc w:val="both"/>
        <w:rPr>
          <w:rFonts w:ascii="Times New Roman" w:hAnsi="Times New Roman"/>
          <w:color w:val="000000" w:themeColor="text1"/>
          <w:sz w:val="28"/>
          <w:szCs w:val="28"/>
        </w:rPr>
      </w:pPr>
      <w:r w:rsidRPr="006C69B9">
        <w:rPr>
          <w:rFonts w:ascii="Times New Roman" w:hAnsi="Times New Roman"/>
          <w:b/>
          <w:bCs/>
          <w:color w:val="000000" w:themeColor="text1"/>
          <w:sz w:val="28"/>
          <w:szCs w:val="28"/>
          <w:lang w:eastAsia="ru-RU"/>
        </w:rPr>
        <w:t xml:space="preserve">Аннотация: </w:t>
      </w:r>
      <w:r w:rsidRPr="006C69B9">
        <w:rPr>
          <w:rFonts w:ascii="Times New Roman" w:hAnsi="Times New Roman"/>
          <w:bCs/>
          <w:color w:val="000000" w:themeColor="text1"/>
          <w:sz w:val="28"/>
          <w:szCs w:val="28"/>
          <w:lang w:eastAsia="ru-RU"/>
        </w:rPr>
        <w:t xml:space="preserve">Авторами </w:t>
      </w:r>
      <w:r w:rsidR="00BB3671" w:rsidRPr="006C69B9">
        <w:rPr>
          <w:rFonts w:ascii="Times New Roman" w:hAnsi="Times New Roman"/>
          <w:color w:val="000000" w:themeColor="text1"/>
          <w:sz w:val="28"/>
          <w:szCs w:val="28"/>
        </w:rPr>
        <w:t>разработан способ экстракорпоральной антибиотикотерапии, включающий использование аутоклеток крови, при котором в качестве транспортного контейнера используется лимфоцитарная масса</w:t>
      </w:r>
      <w:r w:rsidRPr="006C69B9">
        <w:rPr>
          <w:rFonts w:ascii="Times New Roman" w:hAnsi="Times New Roman"/>
          <w:color w:val="000000" w:themeColor="text1"/>
          <w:sz w:val="28"/>
          <w:szCs w:val="28"/>
        </w:rPr>
        <w:t xml:space="preserve">. </w:t>
      </w:r>
      <w:r w:rsidR="00BB3671" w:rsidRPr="006C69B9">
        <w:rPr>
          <w:rFonts w:ascii="Times New Roman" w:eastAsia="Times New Roman" w:hAnsi="Times New Roman"/>
          <w:color w:val="000000" w:themeColor="text1"/>
          <w:sz w:val="28"/>
          <w:szCs w:val="28"/>
          <w:lang w:eastAsia="ru-RU"/>
        </w:rPr>
        <w:t xml:space="preserve">Применение </w:t>
      </w:r>
      <w:r w:rsidR="00BB3671" w:rsidRPr="006C69B9">
        <w:rPr>
          <w:rFonts w:ascii="Times New Roman" w:hAnsi="Times New Roman"/>
          <w:color w:val="000000" w:themeColor="text1"/>
          <w:spacing w:val="-13"/>
          <w:sz w:val="28"/>
          <w:szCs w:val="28"/>
        </w:rPr>
        <w:t xml:space="preserve">лейкоцитарной массы с антибиотиками в лечении </w:t>
      </w:r>
      <w:r w:rsidRPr="006C69B9">
        <w:rPr>
          <w:rFonts w:ascii="Times New Roman" w:hAnsi="Times New Roman"/>
          <w:color w:val="000000" w:themeColor="text1"/>
          <w:spacing w:val="-13"/>
          <w:sz w:val="28"/>
          <w:szCs w:val="28"/>
        </w:rPr>
        <w:t xml:space="preserve">422 </w:t>
      </w:r>
      <w:r w:rsidR="00BB3671" w:rsidRPr="006C69B9">
        <w:rPr>
          <w:rFonts w:ascii="Times New Roman" w:hAnsi="Times New Roman"/>
          <w:color w:val="000000" w:themeColor="text1"/>
          <w:spacing w:val="-13"/>
          <w:sz w:val="28"/>
          <w:szCs w:val="28"/>
        </w:rPr>
        <w:t>пациентов с абдоминальной инфекцией и его осложнениями, позволило снизить курсовую дозу антибиотиков в 4 - 6 раз, при этом</w:t>
      </w:r>
      <w:r w:rsidR="00BB3671" w:rsidRPr="006C69B9">
        <w:rPr>
          <w:rFonts w:ascii="Times New Roman" w:hAnsi="Times New Roman"/>
          <w:color w:val="000000" w:themeColor="text1"/>
          <w:sz w:val="28"/>
          <w:szCs w:val="28"/>
          <w:lang w:eastAsia="ru-RU"/>
        </w:rPr>
        <w:t xml:space="preserve"> повысив эффективность комплексной терапии, сократив продолжительность лечения и уменьшить количество послеоперационных осложнений, что </w:t>
      </w:r>
      <w:r w:rsidR="00BB3671" w:rsidRPr="006C69B9">
        <w:rPr>
          <w:rFonts w:ascii="Times New Roman" w:hAnsi="Times New Roman"/>
          <w:color w:val="000000" w:themeColor="text1"/>
          <w:sz w:val="28"/>
          <w:szCs w:val="28"/>
        </w:rPr>
        <w:t>улучшило результаты хирургического лечения в 1,8 раза.</w:t>
      </w:r>
    </w:p>
    <w:p w:rsidR="00425165" w:rsidRPr="006C69B9" w:rsidRDefault="00425165" w:rsidP="006C69B9">
      <w:pPr>
        <w:spacing w:after="0" w:line="240" w:lineRule="auto"/>
        <w:ind w:firstLine="709"/>
        <w:jc w:val="both"/>
        <w:rPr>
          <w:rFonts w:ascii="Times New Roman" w:hAnsi="Times New Roman"/>
          <w:color w:val="000000" w:themeColor="text1"/>
          <w:sz w:val="28"/>
          <w:szCs w:val="28"/>
          <w:lang w:val="en-US"/>
        </w:rPr>
      </w:pPr>
      <w:r w:rsidRPr="006C69B9">
        <w:rPr>
          <w:rFonts w:ascii="Times New Roman" w:hAnsi="Times New Roman"/>
          <w:b/>
          <w:color w:val="000000" w:themeColor="text1"/>
          <w:sz w:val="28"/>
          <w:szCs w:val="28"/>
          <w:lang w:val="en-US"/>
        </w:rPr>
        <w:t>The summary:</w:t>
      </w:r>
      <w:r w:rsidRPr="006C69B9">
        <w:rPr>
          <w:rFonts w:ascii="Times New Roman" w:hAnsi="Times New Roman"/>
          <w:color w:val="000000" w:themeColor="text1"/>
          <w:sz w:val="28"/>
          <w:szCs w:val="28"/>
          <w:lang w:val="en-US"/>
        </w:rPr>
        <w:t xml:space="preserve"> For the purpose of increase of efficiency of complex treatment of patients with intraabdominal an infection the way extracorporal antibyotic therapy, including use autocell blood at which as the transport container the lymphocytic weight</w:t>
      </w:r>
      <w:r w:rsidR="007F7BEB" w:rsidRPr="006C69B9">
        <w:rPr>
          <w:rFonts w:ascii="Times New Roman" w:hAnsi="Times New Roman"/>
          <w:color w:val="000000" w:themeColor="text1"/>
          <w:sz w:val="28"/>
          <w:szCs w:val="28"/>
          <w:lang w:val="en-US"/>
        </w:rPr>
        <w:t xml:space="preserve">. </w:t>
      </w:r>
      <w:r w:rsidRPr="006C69B9">
        <w:rPr>
          <w:rFonts w:ascii="Times New Roman" w:hAnsi="Times New Roman"/>
          <w:color w:val="000000" w:themeColor="text1"/>
          <w:sz w:val="28"/>
          <w:szCs w:val="28"/>
          <w:lang w:val="en-US"/>
        </w:rPr>
        <w:t>Application leucocyte weights with antibiotics in treatment of</w:t>
      </w:r>
      <w:r w:rsidR="007F7BEB" w:rsidRPr="006C69B9">
        <w:rPr>
          <w:rFonts w:ascii="Times New Roman" w:hAnsi="Times New Roman"/>
          <w:color w:val="000000" w:themeColor="text1"/>
          <w:sz w:val="28"/>
          <w:szCs w:val="28"/>
          <w:lang w:val="en-US"/>
        </w:rPr>
        <w:t xml:space="preserve"> 422 </w:t>
      </w:r>
      <w:r w:rsidRPr="006C69B9">
        <w:rPr>
          <w:rFonts w:ascii="Times New Roman" w:hAnsi="Times New Roman"/>
          <w:color w:val="000000" w:themeColor="text1"/>
          <w:sz w:val="28"/>
          <w:szCs w:val="28"/>
          <w:lang w:val="en-US"/>
        </w:rPr>
        <w:t xml:space="preserve"> patients with abdominal infections and its complications, has allowed to lower a course dose of antibiotics in 4 - 6 times, thus having raised efficiency of complex therapy, having reduced duration of treatment and to reduce quantity of postoperative complications that has improved results of surgical treatment in 1,8 times.</w:t>
      </w:r>
    </w:p>
    <w:p w:rsidR="006C69B9" w:rsidRDefault="006C69B9" w:rsidP="006C69B9">
      <w:pPr>
        <w:spacing w:after="0" w:line="240" w:lineRule="auto"/>
        <w:ind w:firstLine="708"/>
        <w:jc w:val="both"/>
        <w:rPr>
          <w:rFonts w:ascii="Times New Roman" w:hAnsi="Times New Roman"/>
          <w:color w:val="000000"/>
          <w:sz w:val="28"/>
          <w:szCs w:val="28"/>
        </w:rPr>
      </w:pPr>
    </w:p>
    <w:p w:rsidR="00CE0C76" w:rsidRPr="006C69B9" w:rsidRDefault="00CE0C76" w:rsidP="006C69B9">
      <w:pPr>
        <w:spacing w:after="0" w:line="240" w:lineRule="auto"/>
        <w:ind w:firstLine="708"/>
        <w:jc w:val="both"/>
        <w:rPr>
          <w:rFonts w:ascii="Times New Roman" w:hAnsi="Times New Roman"/>
          <w:color w:val="000000"/>
          <w:sz w:val="28"/>
          <w:szCs w:val="28"/>
        </w:rPr>
      </w:pPr>
      <w:r w:rsidRPr="006C69B9">
        <w:rPr>
          <w:rFonts w:ascii="Times New Roman" w:hAnsi="Times New Roman"/>
          <w:color w:val="000000"/>
          <w:sz w:val="28"/>
          <w:szCs w:val="28"/>
        </w:rPr>
        <w:t>Лечение больных с интраабдоминальной инфекцией брюшной полости (ИАИ) является одной из важнейших проблем современной хирургии. Это объясняется, в первую очередь, тем, что за последние годы значительно увеличилось количество больных, поступающих в отделение экстренной хирургии с острыми воспалительными заболеваниями органов брюшной полости [1,2,3], а также ростом числа гнойных послеоперационных осложнений, достигающих 10-30%, несмотря на появление целого ряда новых антибактериальных и антисептических средств [4,5,6].</w:t>
      </w:r>
    </w:p>
    <w:p w:rsidR="00CE0C76" w:rsidRPr="006C69B9" w:rsidRDefault="00CE0C76" w:rsidP="006C69B9">
      <w:pPr>
        <w:spacing w:after="0" w:line="240" w:lineRule="auto"/>
        <w:ind w:firstLine="450"/>
        <w:jc w:val="both"/>
        <w:rPr>
          <w:rFonts w:ascii="Times New Roman" w:hAnsi="Times New Roman"/>
          <w:color w:val="000000"/>
          <w:sz w:val="28"/>
          <w:szCs w:val="28"/>
        </w:rPr>
      </w:pPr>
      <w:r w:rsidRPr="006C69B9">
        <w:rPr>
          <w:rFonts w:ascii="Times New Roman" w:hAnsi="Times New Roman"/>
          <w:color w:val="000000"/>
          <w:sz w:val="28"/>
          <w:szCs w:val="28"/>
        </w:rPr>
        <w:t>Летальность при интраабдоминальной инфекции брюшной полости остается достаточно высокой 15-45% и не имеет заметной тенденции к снижению [7,8].</w:t>
      </w:r>
    </w:p>
    <w:p w:rsidR="00CE0C76" w:rsidRPr="006C69B9" w:rsidRDefault="00CE0C76" w:rsidP="006C69B9">
      <w:pPr>
        <w:spacing w:after="0" w:line="240" w:lineRule="auto"/>
        <w:ind w:firstLine="448"/>
        <w:jc w:val="both"/>
        <w:rPr>
          <w:rFonts w:ascii="Times New Roman" w:eastAsia="Times New Roman" w:hAnsi="Times New Roman"/>
          <w:color w:val="000000"/>
          <w:sz w:val="28"/>
          <w:szCs w:val="28"/>
          <w:lang w:eastAsia="ru-RU"/>
        </w:rPr>
      </w:pPr>
      <w:r w:rsidRPr="006C69B9">
        <w:rPr>
          <w:rFonts w:ascii="Times New Roman" w:eastAsia="Times New Roman" w:hAnsi="Times New Roman"/>
          <w:color w:val="000000"/>
          <w:sz w:val="28"/>
          <w:szCs w:val="28"/>
          <w:lang w:eastAsia="ru-RU"/>
        </w:rPr>
        <w:t xml:space="preserve">Антибактериальная терапия (АБТ) у больных с </w:t>
      </w:r>
      <w:r w:rsidRPr="006C69B9">
        <w:rPr>
          <w:rFonts w:ascii="Times New Roman" w:hAnsi="Times New Roman"/>
          <w:color w:val="000000"/>
          <w:sz w:val="28"/>
          <w:szCs w:val="28"/>
        </w:rPr>
        <w:t xml:space="preserve">гнойной инфекцией брюшной полости является ведущим методом в комплексном лечении этого заболевания и </w:t>
      </w:r>
      <w:r w:rsidRPr="006C69B9">
        <w:rPr>
          <w:rFonts w:ascii="Times New Roman" w:eastAsia="Times New Roman" w:hAnsi="Times New Roman"/>
          <w:color w:val="000000"/>
          <w:sz w:val="28"/>
          <w:szCs w:val="28"/>
          <w:lang w:eastAsia="ru-RU"/>
        </w:rPr>
        <w:t xml:space="preserve">проводится обычно с соблюдением традиционных принципов: учетом чувствительности бактериального агента к препарату и тропности лекарственного вещества. Выбор дозы, оптимальных путей и временных режимов введения антибиотика (АБ) в зависимости от величины его </w:t>
      </w:r>
      <w:r w:rsidRPr="006C69B9">
        <w:rPr>
          <w:rFonts w:ascii="Times New Roman" w:eastAsia="Times New Roman" w:hAnsi="Times New Roman"/>
          <w:color w:val="000000"/>
          <w:sz w:val="28"/>
          <w:szCs w:val="28"/>
          <w:lang w:eastAsia="ru-RU"/>
        </w:rPr>
        <w:lastRenderedPageBreak/>
        <w:t>минимальной подавляющей концентрации также является неотъемлемой частью понятия "адекватная АБТ". Токсичность АБ, помимо его структурных свойств, в значительной степени определяется суточной дозой препарата [9,10].</w:t>
      </w:r>
    </w:p>
    <w:p w:rsidR="00CE0C76" w:rsidRPr="006C69B9" w:rsidRDefault="00CE0C76" w:rsidP="006C69B9">
      <w:pPr>
        <w:spacing w:after="0" w:line="240" w:lineRule="auto"/>
        <w:ind w:firstLine="448"/>
        <w:jc w:val="both"/>
        <w:rPr>
          <w:rFonts w:ascii="Times New Roman" w:eastAsia="Times New Roman" w:hAnsi="Times New Roman"/>
          <w:color w:val="000000"/>
          <w:sz w:val="28"/>
          <w:szCs w:val="28"/>
          <w:lang w:eastAsia="ru-RU"/>
        </w:rPr>
      </w:pPr>
      <w:r w:rsidRPr="006C69B9">
        <w:rPr>
          <w:rFonts w:ascii="Times New Roman" w:eastAsia="Times New Roman" w:hAnsi="Times New Roman"/>
          <w:color w:val="000000"/>
          <w:sz w:val="28"/>
          <w:szCs w:val="28"/>
          <w:lang w:eastAsia="ru-RU"/>
        </w:rPr>
        <w:t>Уменьшить выраженность и частоту токсических влияний АБТ на организм, одновременно повысив ее эффективность, позволяет внедрение в клиническую практику методов экстракорпоральной фармакотерапии (ЭКФТ), которая основана на использовании клеток аутокрови (лейкоцитов, тромбоцитов, эритроцитов) для направленного транспорта лекарства [11,12].</w:t>
      </w:r>
    </w:p>
    <w:p w:rsidR="00CE0C76" w:rsidRPr="006C69B9" w:rsidRDefault="00CE0C76" w:rsidP="006C69B9">
      <w:pPr>
        <w:spacing w:after="0" w:line="240" w:lineRule="auto"/>
        <w:ind w:firstLine="448"/>
        <w:jc w:val="both"/>
        <w:rPr>
          <w:rFonts w:ascii="Times New Roman" w:eastAsia="Times New Roman" w:hAnsi="Times New Roman"/>
          <w:color w:val="000000"/>
          <w:sz w:val="28"/>
          <w:szCs w:val="28"/>
          <w:lang w:eastAsia="ru-RU"/>
        </w:rPr>
      </w:pPr>
      <w:r w:rsidRPr="006C69B9">
        <w:rPr>
          <w:rFonts w:ascii="Times New Roman" w:eastAsia="Times New Roman" w:hAnsi="Times New Roman"/>
          <w:color w:val="000000"/>
          <w:sz w:val="28"/>
          <w:szCs w:val="28"/>
          <w:lang w:eastAsia="ru-RU"/>
        </w:rPr>
        <w:t>Использование АБ для направленного транспорта обосновывается возможностью создания их высокой концентрации в очаге воспаления, снижения побочных эффектов. Экстракорпоральная антибиотикотерапия (ЭКАТ), по данным литературы, высокоэффективный метод лечения больных с неспецифическими заболеваниями легких и плевры [13,14].</w:t>
      </w:r>
    </w:p>
    <w:p w:rsidR="00CE0C76" w:rsidRPr="006C69B9" w:rsidRDefault="00CE0C76" w:rsidP="006C69B9">
      <w:pPr>
        <w:spacing w:after="0" w:line="240" w:lineRule="auto"/>
        <w:ind w:firstLine="450"/>
        <w:jc w:val="both"/>
        <w:rPr>
          <w:rFonts w:ascii="Times New Roman" w:eastAsia="Times New Roman" w:hAnsi="Times New Roman"/>
          <w:iCs/>
          <w:color w:val="000000"/>
          <w:sz w:val="28"/>
          <w:szCs w:val="28"/>
          <w:lang w:eastAsia="ru-RU"/>
        </w:rPr>
      </w:pPr>
      <w:r w:rsidRPr="006C69B9">
        <w:rPr>
          <w:rFonts w:ascii="Times New Roman" w:eastAsia="Times New Roman" w:hAnsi="Times New Roman"/>
          <w:iCs/>
          <w:color w:val="000000"/>
          <w:sz w:val="28"/>
          <w:szCs w:val="28"/>
          <w:lang w:eastAsia="ru-RU"/>
        </w:rPr>
        <w:t>Использование метода</w:t>
      </w:r>
      <w:r w:rsidRPr="006C69B9">
        <w:rPr>
          <w:rFonts w:ascii="Times New Roman" w:eastAsia="Times New Roman" w:hAnsi="Times New Roman"/>
          <w:color w:val="000000"/>
          <w:sz w:val="28"/>
          <w:szCs w:val="28"/>
          <w:lang w:eastAsia="ru-RU"/>
        </w:rPr>
        <w:t xml:space="preserve"> и</w:t>
      </w:r>
      <w:r w:rsidRPr="006C69B9">
        <w:rPr>
          <w:rFonts w:ascii="Times New Roman" w:eastAsia="Times New Roman" w:hAnsi="Times New Roman"/>
          <w:bCs/>
          <w:iCs/>
          <w:color w:val="000000"/>
          <w:sz w:val="28"/>
          <w:szCs w:val="28"/>
          <w:lang w:eastAsia="ru-RU"/>
        </w:rPr>
        <w:t>нкубации клеточной массы</w:t>
      </w:r>
      <w:r w:rsidRPr="006C69B9">
        <w:rPr>
          <w:rFonts w:ascii="Times New Roman" w:eastAsia="Times New Roman" w:hAnsi="Times New Roman"/>
          <w:color w:val="000000"/>
          <w:sz w:val="28"/>
          <w:szCs w:val="28"/>
          <w:lang w:eastAsia="ru-RU"/>
        </w:rPr>
        <w:t xml:space="preserve"> </w:t>
      </w:r>
      <w:r w:rsidRPr="006C69B9">
        <w:rPr>
          <w:rFonts w:ascii="Times New Roman" w:eastAsia="Times New Roman" w:hAnsi="Times New Roman"/>
          <w:iCs/>
          <w:color w:val="000000"/>
          <w:sz w:val="28"/>
          <w:szCs w:val="28"/>
          <w:lang w:eastAsia="ru-RU"/>
        </w:rPr>
        <w:t xml:space="preserve">позволяет </w:t>
      </w:r>
      <w:r w:rsidRPr="006C69B9">
        <w:rPr>
          <w:rFonts w:ascii="Times New Roman" w:eastAsia="Times New Roman" w:hAnsi="Times New Roman"/>
          <w:bCs/>
          <w:iCs/>
          <w:color w:val="000000"/>
          <w:sz w:val="28"/>
          <w:szCs w:val="28"/>
          <w:lang w:eastAsia="ru-RU"/>
        </w:rPr>
        <w:t>кардинально изменить распределение препаратов в организме</w:t>
      </w:r>
      <w:r w:rsidRPr="006C69B9">
        <w:rPr>
          <w:rFonts w:ascii="Times New Roman" w:eastAsia="Times New Roman" w:hAnsi="Times New Roman"/>
          <w:iCs/>
          <w:color w:val="000000"/>
          <w:sz w:val="28"/>
          <w:szCs w:val="28"/>
          <w:lang w:eastAsia="ru-RU"/>
        </w:rPr>
        <w:t xml:space="preserve"> пути их метаболизма и выведения, в несколько раз </w:t>
      </w:r>
      <w:r w:rsidRPr="006C69B9">
        <w:rPr>
          <w:rFonts w:ascii="Times New Roman" w:eastAsia="Times New Roman" w:hAnsi="Times New Roman"/>
          <w:bCs/>
          <w:iCs/>
          <w:color w:val="000000"/>
          <w:sz w:val="28"/>
          <w:szCs w:val="28"/>
          <w:lang w:eastAsia="ru-RU"/>
        </w:rPr>
        <w:t>уменьшить курсовые дозы антибиотиков</w:t>
      </w:r>
      <w:r w:rsidRPr="006C69B9">
        <w:rPr>
          <w:rFonts w:ascii="Times New Roman" w:eastAsia="Times New Roman" w:hAnsi="Times New Roman"/>
          <w:iCs/>
          <w:color w:val="000000"/>
          <w:sz w:val="28"/>
          <w:szCs w:val="28"/>
          <w:lang w:eastAsia="ru-RU"/>
        </w:rPr>
        <w:t xml:space="preserve">, при этом создавая их </w:t>
      </w:r>
      <w:r w:rsidRPr="006C69B9">
        <w:rPr>
          <w:rFonts w:ascii="Times New Roman" w:eastAsia="Times New Roman" w:hAnsi="Times New Roman"/>
          <w:bCs/>
          <w:iCs/>
          <w:color w:val="000000"/>
          <w:sz w:val="28"/>
          <w:szCs w:val="28"/>
          <w:lang w:eastAsia="ru-RU"/>
        </w:rPr>
        <w:t xml:space="preserve">высокие бактерицидные концентрации только в очагах инфекционного воспаления с минимальным токсическим </w:t>
      </w:r>
      <w:r w:rsidRPr="006C69B9">
        <w:rPr>
          <w:rFonts w:ascii="Times New Roman" w:eastAsia="Times New Roman" w:hAnsi="Times New Roman"/>
          <w:iCs/>
          <w:color w:val="000000"/>
          <w:sz w:val="28"/>
          <w:szCs w:val="28"/>
          <w:lang w:eastAsia="ru-RU"/>
        </w:rPr>
        <w:t>воздействием на организм [15,16].</w:t>
      </w:r>
    </w:p>
    <w:p w:rsidR="00CE0C76" w:rsidRPr="006C69B9" w:rsidRDefault="00CE0C76" w:rsidP="006C69B9">
      <w:pPr>
        <w:spacing w:after="0" w:line="240" w:lineRule="auto"/>
        <w:ind w:firstLine="450"/>
        <w:jc w:val="both"/>
        <w:rPr>
          <w:rFonts w:ascii="Times New Roman" w:eastAsia="Times New Roman" w:hAnsi="Times New Roman"/>
          <w:color w:val="000000"/>
          <w:sz w:val="28"/>
          <w:szCs w:val="28"/>
          <w:lang w:eastAsia="ru-RU"/>
        </w:rPr>
      </w:pPr>
      <w:r w:rsidRPr="006C69B9">
        <w:rPr>
          <w:rFonts w:ascii="Times New Roman" w:eastAsia="Times New Roman" w:hAnsi="Times New Roman"/>
          <w:iCs/>
          <w:color w:val="000000"/>
          <w:sz w:val="28"/>
          <w:szCs w:val="28"/>
          <w:lang w:eastAsia="ru-RU"/>
        </w:rPr>
        <w:t xml:space="preserve">Практический интерес представляет </w:t>
      </w:r>
      <w:r w:rsidRPr="006C69B9">
        <w:rPr>
          <w:rFonts w:ascii="Times New Roman" w:eastAsia="Times New Roman" w:hAnsi="Times New Roman"/>
          <w:color w:val="000000"/>
          <w:sz w:val="28"/>
          <w:szCs w:val="28"/>
          <w:lang w:eastAsia="ru-RU"/>
        </w:rPr>
        <w:t>инкубация лейкоцитарной массы с антибиотиками и иммуномодуляторами, с последующим возвратом активированных таким образом лейкоцитов в кровоток пациента. Метод с успехом используется при лечении больных как с тяжелыми гнойно-септическими процессами, так и у амбулаторных пациентов с различными вариантами иммунодефицитных состояний [13].</w:t>
      </w:r>
    </w:p>
    <w:p w:rsidR="00CE0C76" w:rsidRPr="006C69B9" w:rsidRDefault="00CE0C76" w:rsidP="006C69B9">
      <w:pPr>
        <w:spacing w:after="0" w:line="240" w:lineRule="auto"/>
        <w:ind w:firstLine="708"/>
        <w:jc w:val="both"/>
        <w:rPr>
          <w:rFonts w:ascii="Times New Roman" w:hAnsi="Times New Roman"/>
          <w:sz w:val="28"/>
          <w:szCs w:val="28"/>
          <w:lang w:eastAsia="ru-RU"/>
        </w:rPr>
      </w:pPr>
      <w:r w:rsidRPr="006C69B9">
        <w:rPr>
          <w:rFonts w:ascii="Times New Roman" w:hAnsi="Times New Roman"/>
          <w:color w:val="000000"/>
          <w:sz w:val="28"/>
          <w:szCs w:val="28"/>
        </w:rPr>
        <w:t xml:space="preserve">Материалом нашего исследования служили собственные наблюдения и изучения истории болезни 422 больных с гнойно-септическими осложнениями острых хирургических заболеваний и травм органов брюшной полости находившихся </w:t>
      </w:r>
      <w:r w:rsidRPr="006C69B9">
        <w:rPr>
          <w:rFonts w:ascii="Times New Roman" w:hAnsi="Times New Roman"/>
          <w:sz w:val="28"/>
          <w:szCs w:val="28"/>
          <w:lang w:eastAsia="ru-RU"/>
        </w:rPr>
        <w:t xml:space="preserve">на лечении в хирургическом отделении </w:t>
      </w:r>
      <w:r w:rsidRPr="006C69B9">
        <w:rPr>
          <w:rFonts w:ascii="Times New Roman" w:hAnsi="Times New Roman"/>
          <w:color w:val="000000"/>
          <w:sz w:val="28"/>
          <w:szCs w:val="28"/>
        </w:rPr>
        <w:t>Алматинской многопрофильной клинической больнице</w:t>
      </w:r>
      <w:r w:rsidRPr="006C69B9">
        <w:rPr>
          <w:rFonts w:ascii="Times New Roman" w:hAnsi="Times New Roman"/>
          <w:sz w:val="28"/>
          <w:szCs w:val="28"/>
          <w:lang w:eastAsia="ru-RU"/>
        </w:rPr>
        <w:t>, за период 2002-2011 гг.</w:t>
      </w:r>
    </w:p>
    <w:p w:rsidR="00CE0C76" w:rsidRPr="006C69B9" w:rsidRDefault="00CE0C76" w:rsidP="006C69B9">
      <w:pPr>
        <w:pStyle w:val="a3"/>
        <w:spacing w:before="0" w:beforeAutospacing="0" w:after="0" w:afterAutospacing="0"/>
        <w:jc w:val="both"/>
        <w:rPr>
          <w:color w:val="000000"/>
          <w:sz w:val="28"/>
          <w:szCs w:val="28"/>
        </w:rPr>
      </w:pPr>
      <w:r w:rsidRPr="006C69B9">
        <w:rPr>
          <w:sz w:val="28"/>
          <w:szCs w:val="28"/>
        </w:rPr>
        <w:tab/>
        <w:t xml:space="preserve">В зависимости от применяемой лечебной тактики все больные в нашей работе были разделены на 2 </w:t>
      </w:r>
      <w:r w:rsidRPr="006C69B9">
        <w:rPr>
          <w:color w:val="000000"/>
          <w:sz w:val="28"/>
          <w:szCs w:val="28"/>
        </w:rPr>
        <w:t>группы: основную (216) и группу сравнения (206).</w:t>
      </w:r>
    </w:p>
    <w:p w:rsidR="00CE0C76" w:rsidRPr="006C69B9" w:rsidRDefault="00CE0C76" w:rsidP="006C69B9">
      <w:pPr>
        <w:pStyle w:val="9"/>
        <w:spacing w:before="0" w:after="0"/>
        <w:jc w:val="both"/>
        <w:rPr>
          <w:rFonts w:ascii="Times New Roman" w:hAnsi="Times New Roman" w:cs="Times New Roman"/>
          <w:b/>
          <w:color w:val="000000"/>
          <w:sz w:val="28"/>
          <w:szCs w:val="28"/>
        </w:rPr>
      </w:pPr>
      <w:r w:rsidRPr="006C69B9">
        <w:rPr>
          <w:rFonts w:ascii="Times New Roman" w:hAnsi="Times New Roman" w:cs="Times New Roman"/>
          <w:b/>
          <w:color w:val="000000"/>
          <w:sz w:val="28"/>
          <w:szCs w:val="28"/>
        </w:rPr>
        <w:t>Количественная характеристика групп больных</w:t>
      </w:r>
    </w:p>
    <w:p w:rsidR="00CE0C76" w:rsidRPr="006C69B9" w:rsidRDefault="00CE0C76" w:rsidP="006C69B9">
      <w:pPr>
        <w:spacing w:after="0" w:line="240" w:lineRule="auto"/>
        <w:jc w:val="right"/>
        <w:rPr>
          <w:rFonts w:ascii="Times New Roman" w:hAnsi="Times New Roman"/>
          <w:color w:val="000000"/>
          <w:sz w:val="28"/>
          <w:szCs w:val="28"/>
        </w:rPr>
      </w:pPr>
      <w:r w:rsidRPr="006C69B9">
        <w:rPr>
          <w:rFonts w:ascii="Times New Roman" w:hAnsi="Times New Roman"/>
          <w:color w:val="000000"/>
          <w:sz w:val="28"/>
          <w:szCs w:val="28"/>
        </w:rPr>
        <w:t>Таблица 1.</w:t>
      </w:r>
    </w:p>
    <w:tbl>
      <w:tblPr>
        <w:tblW w:w="927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7"/>
        <w:gridCol w:w="2880"/>
        <w:gridCol w:w="3130"/>
      </w:tblGrid>
      <w:tr w:rsidR="00CE0C76" w:rsidRPr="006C69B9" w:rsidTr="000E338A">
        <w:trPr>
          <w:jc w:val="center"/>
        </w:trPr>
        <w:tc>
          <w:tcPr>
            <w:tcW w:w="3267" w:type="dxa"/>
          </w:tcPr>
          <w:p w:rsidR="00CE0C76" w:rsidRPr="006C69B9" w:rsidRDefault="00CE0C76" w:rsidP="006C69B9">
            <w:pPr>
              <w:spacing w:after="0" w:line="240" w:lineRule="auto"/>
              <w:jc w:val="center"/>
              <w:rPr>
                <w:rFonts w:ascii="Times New Roman" w:hAnsi="Times New Roman"/>
                <w:b/>
                <w:bCs/>
                <w:color w:val="000000"/>
                <w:sz w:val="28"/>
                <w:szCs w:val="28"/>
              </w:rPr>
            </w:pPr>
            <w:r w:rsidRPr="006C69B9">
              <w:rPr>
                <w:rFonts w:ascii="Times New Roman" w:hAnsi="Times New Roman"/>
                <w:b/>
                <w:color w:val="000000"/>
                <w:sz w:val="28"/>
                <w:szCs w:val="28"/>
              </w:rPr>
              <w:t>Группы больных</w:t>
            </w:r>
          </w:p>
        </w:tc>
        <w:tc>
          <w:tcPr>
            <w:tcW w:w="2880" w:type="dxa"/>
          </w:tcPr>
          <w:p w:rsidR="00CE0C76" w:rsidRPr="006C69B9" w:rsidRDefault="00CE0C76" w:rsidP="006C69B9">
            <w:pPr>
              <w:spacing w:after="0" w:line="240" w:lineRule="auto"/>
              <w:jc w:val="center"/>
              <w:rPr>
                <w:rFonts w:ascii="Times New Roman" w:hAnsi="Times New Roman"/>
                <w:b/>
                <w:color w:val="000000"/>
                <w:sz w:val="28"/>
                <w:szCs w:val="28"/>
              </w:rPr>
            </w:pPr>
            <w:r w:rsidRPr="006C69B9">
              <w:rPr>
                <w:rFonts w:ascii="Times New Roman" w:hAnsi="Times New Roman"/>
                <w:b/>
                <w:color w:val="000000"/>
                <w:sz w:val="28"/>
                <w:szCs w:val="28"/>
              </w:rPr>
              <w:t>Абс. число</w:t>
            </w:r>
          </w:p>
        </w:tc>
        <w:tc>
          <w:tcPr>
            <w:tcW w:w="3130" w:type="dxa"/>
          </w:tcPr>
          <w:p w:rsidR="00CE0C76" w:rsidRPr="006C69B9" w:rsidRDefault="00CE0C76" w:rsidP="006C69B9">
            <w:pPr>
              <w:spacing w:after="0" w:line="240" w:lineRule="auto"/>
              <w:jc w:val="center"/>
              <w:rPr>
                <w:rFonts w:ascii="Times New Roman" w:hAnsi="Times New Roman"/>
                <w:b/>
                <w:bCs/>
                <w:color w:val="000000"/>
                <w:sz w:val="28"/>
                <w:szCs w:val="28"/>
              </w:rPr>
            </w:pPr>
            <w:r w:rsidRPr="006C69B9">
              <w:rPr>
                <w:rFonts w:ascii="Times New Roman" w:hAnsi="Times New Roman"/>
                <w:b/>
                <w:color w:val="000000"/>
                <w:sz w:val="28"/>
                <w:szCs w:val="28"/>
              </w:rPr>
              <w:t>%</w:t>
            </w:r>
          </w:p>
        </w:tc>
      </w:tr>
      <w:tr w:rsidR="00CE0C76" w:rsidRPr="006C69B9" w:rsidTr="000E338A">
        <w:trPr>
          <w:jc w:val="center"/>
        </w:trPr>
        <w:tc>
          <w:tcPr>
            <w:tcW w:w="3267"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основная</w:t>
            </w:r>
          </w:p>
        </w:tc>
        <w:tc>
          <w:tcPr>
            <w:tcW w:w="2880"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bCs/>
                <w:color w:val="000000"/>
                <w:sz w:val="28"/>
                <w:szCs w:val="28"/>
              </w:rPr>
              <w:t>216</w:t>
            </w:r>
          </w:p>
        </w:tc>
        <w:tc>
          <w:tcPr>
            <w:tcW w:w="3130"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51,2</w:t>
            </w:r>
          </w:p>
        </w:tc>
      </w:tr>
      <w:tr w:rsidR="00CE0C76" w:rsidRPr="006C69B9" w:rsidTr="000E338A">
        <w:trPr>
          <w:jc w:val="center"/>
        </w:trPr>
        <w:tc>
          <w:tcPr>
            <w:tcW w:w="3267"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контрольная</w:t>
            </w:r>
          </w:p>
        </w:tc>
        <w:tc>
          <w:tcPr>
            <w:tcW w:w="2880"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206</w:t>
            </w:r>
          </w:p>
        </w:tc>
        <w:tc>
          <w:tcPr>
            <w:tcW w:w="3130"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48,8</w:t>
            </w:r>
          </w:p>
        </w:tc>
      </w:tr>
      <w:tr w:rsidR="00CE0C76" w:rsidRPr="006C69B9" w:rsidTr="000E338A">
        <w:trPr>
          <w:jc w:val="center"/>
        </w:trPr>
        <w:tc>
          <w:tcPr>
            <w:tcW w:w="3267"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всего</w:t>
            </w:r>
          </w:p>
        </w:tc>
        <w:tc>
          <w:tcPr>
            <w:tcW w:w="2880"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422</w:t>
            </w:r>
          </w:p>
        </w:tc>
        <w:tc>
          <w:tcPr>
            <w:tcW w:w="3130" w:type="dxa"/>
          </w:tcPr>
          <w:p w:rsidR="00CE0C76" w:rsidRPr="006C69B9" w:rsidRDefault="00CE0C76" w:rsidP="006C69B9">
            <w:pPr>
              <w:spacing w:after="0" w:line="240" w:lineRule="auto"/>
              <w:jc w:val="center"/>
              <w:rPr>
                <w:rFonts w:ascii="Times New Roman" w:hAnsi="Times New Roman"/>
                <w:bCs/>
                <w:color w:val="000000"/>
                <w:sz w:val="28"/>
                <w:szCs w:val="28"/>
              </w:rPr>
            </w:pPr>
            <w:r w:rsidRPr="006C69B9">
              <w:rPr>
                <w:rFonts w:ascii="Times New Roman" w:hAnsi="Times New Roman"/>
                <w:color w:val="000000"/>
                <w:sz w:val="28"/>
                <w:szCs w:val="28"/>
              </w:rPr>
              <w:t>100</w:t>
            </w:r>
          </w:p>
        </w:tc>
      </w:tr>
    </w:tbl>
    <w:p w:rsidR="00CE0C76" w:rsidRPr="006C69B9" w:rsidRDefault="00CE0C76" w:rsidP="006C69B9">
      <w:pPr>
        <w:spacing w:after="0" w:line="240" w:lineRule="auto"/>
        <w:jc w:val="both"/>
        <w:rPr>
          <w:rFonts w:ascii="Times New Roman" w:hAnsi="Times New Roman"/>
          <w:bCs/>
          <w:color w:val="000000"/>
          <w:sz w:val="28"/>
          <w:szCs w:val="28"/>
        </w:rPr>
      </w:pPr>
    </w:p>
    <w:p w:rsidR="00CE0C76" w:rsidRPr="006C69B9" w:rsidRDefault="00CE0C76" w:rsidP="006C69B9">
      <w:pPr>
        <w:spacing w:after="0" w:line="240" w:lineRule="auto"/>
        <w:ind w:firstLine="708"/>
        <w:jc w:val="both"/>
        <w:rPr>
          <w:rFonts w:ascii="Times New Roman" w:hAnsi="Times New Roman"/>
          <w:color w:val="000000"/>
          <w:sz w:val="28"/>
          <w:szCs w:val="28"/>
        </w:rPr>
      </w:pPr>
      <w:r w:rsidRPr="006C69B9">
        <w:rPr>
          <w:rFonts w:ascii="Times New Roman" w:hAnsi="Times New Roman"/>
          <w:color w:val="000000"/>
          <w:sz w:val="28"/>
          <w:szCs w:val="28"/>
        </w:rPr>
        <w:t>Основную группу составили 216 больных, в комплексном лечении которых была включена экстракорпоральная антибактериальная фармакотерапия по разработанной методике.</w:t>
      </w:r>
    </w:p>
    <w:p w:rsidR="00CE0C76" w:rsidRPr="006C69B9" w:rsidRDefault="00CE0C76" w:rsidP="006C69B9">
      <w:pPr>
        <w:spacing w:after="0" w:line="240" w:lineRule="auto"/>
        <w:ind w:firstLine="708"/>
        <w:jc w:val="both"/>
        <w:rPr>
          <w:rFonts w:ascii="Times New Roman" w:hAnsi="Times New Roman"/>
          <w:sz w:val="28"/>
          <w:szCs w:val="28"/>
          <w:lang w:eastAsia="ru-RU"/>
        </w:rPr>
      </w:pPr>
      <w:r w:rsidRPr="006C69B9">
        <w:rPr>
          <w:rFonts w:ascii="Times New Roman" w:hAnsi="Times New Roman"/>
          <w:color w:val="000000"/>
          <w:sz w:val="28"/>
          <w:szCs w:val="28"/>
        </w:rPr>
        <w:lastRenderedPageBreak/>
        <w:t xml:space="preserve">В контрольную группу были включены 206 пациентов с осложненной интраабдоминальной инфекцией (ИАИ) получавшие традиционное комплексное лечение, включающие, кроме хирургического лечения, экстракорпоральную детоксикацию, антибактериальную терапию. </w:t>
      </w:r>
      <w:r w:rsidRPr="006C69B9">
        <w:rPr>
          <w:rFonts w:ascii="Times New Roman" w:hAnsi="Times New Roman"/>
          <w:sz w:val="28"/>
          <w:szCs w:val="28"/>
          <w:lang w:eastAsia="ru-RU"/>
        </w:rPr>
        <w:t>Этиология ИАИ, у больных обеих групп, представлена в таблице №2.</w:t>
      </w:r>
    </w:p>
    <w:p w:rsidR="00CE0C76" w:rsidRPr="006C69B9" w:rsidRDefault="00CE0C76" w:rsidP="006C69B9">
      <w:pPr>
        <w:spacing w:after="0" w:line="240" w:lineRule="auto"/>
        <w:ind w:firstLine="709"/>
        <w:jc w:val="center"/>
        <w:rPr>
          <w:rFonts w:ascii="Times New Roman" w:hAnsi="Times New Roman"/>
          <w:b/>
          <w:bCs/>
          <w:sz w:val="28"/>
          <w:szCs w:val="28"/>
        </w:rPr>
      </w:pPr>
      <w:r w:rsidRPr="006C69B9">
        <w:rPr>
          <w:rFonts w:ascii="Times New Roman" w:hAnsi="Times New Roman"/>
          <w:b/>
          <w:bCs/>
          <w:sz w:val="28"/>
          <w:szCs w:val="28"/>
        </w:rPr>
        <w:t>Этиология ИАИ основной и контрольной групп</w:t>
      </w:r>
    </w:p>
    <w:p w:rsidR="00CE0C76" w:rsidRPr="006C69B9" w:rsidRDefault="00CE0C76" w:rsidP="006C69B9">
      <w:pPr>
        <w:spacing w:after="0" w:line="240" w:lineRule="auto"/>
        <w:ind w:firstLine="709"/>
        <w:jc w:val="right"/>
        <w:rPr>
          <w:rFonts w:ascii="Times New Roman" w:hAnsi="Times New Roman"/>
          <w:sz w:val="28"/>
          <w:szCs w:val="28"/>
        </w:rPr>
      </w:pPr>
      <w:r w:rsidRPr="006C69B9">
        <w:rPr>
          <w:rFonts w:ascii="Times New Roman" w:hAnsi="Times New Roman"/>
          <w:b/>
          <w:sz w:val="28"/>
          <w:szCs w:val="28"/>
        </w:rPr>
        <w:t xml:space="preserve">Таблица </w:t>
      </w:r>
      <w:r w:rsidRPr="006C69B9">
        <w:rPr>
          <w:rFonts w:ascii="Times New Roman" w:hAnsi="Times New Roman"/>
          <w:b/>
          <w:sz w:val="28"/>
          <w:szCs w:val="28"/>
          <w:lang w:val="en-US"/>
        </w:rPr>
        <w:t>2</w:t>
      </w:r>
      <w:r w:rsidRPr="006C69B9">
        <w:rPr>
          <w:rFonts w:ascii="Times New Roman" w:hAnsi="Times New Roman"/>
          <w:sz w:val="28"/>
          <w:szCs w:val="28"/>
        </w:rPr>
        <w:t>.</w:t>
      </w:r>
    </w:p>
    <w:tbl>
      <w:tblPr>
        <w:tblW w:w="0" w:type="auto"/>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280"/>
        <w:gridCol w:w="1342"/>
        <w:gridCol w:w="1268"/>
        <w:gridCol w:w="1543"/>
        <w:gridCol w:w="1325"/>
      </w:tblGrid>
      <w:tr w:rsidR="00CE0C76" w:rsidRPr="006C69B9" w:rsidTr="000E338A">
        <w:trPr>
          <w:cantSplit/>
          <w:jc w:val="center"/>
        </w:trPr>
        <w:tc>
          <w:tcPr>
            <w:tcW w:w="560" w:type="dxa"/>
            <w:vMerge w:val="restart"/>
          </w:tcPr>
          <w:p w:rsidR="00CE0C76" w:rsidRPr="006C69B9" w:rsidRDefault="00CE0C76" w:rsidP="006C69B9">
            <w:pPr>
              <w:spacing w:after="0" w:line="240" w:lineRule="auto"/>
              <w:jc w:val="both"/>
              <w:rPr>
                <w:rFonts w:ascii="Times New Roman" w:hAnsi="Times New Roman"/>
                <w:sz w:val="28"/>
                <w:szCs w:val="28"/>
              </w:rPr>
            </w:pPr>
          </w:p>
        </w:tc>
        <w:tc>
          <w:tcPr>
            <w:tcW w:w="3280" w:type="dxa"/>
            <w:vMerge w:val="restart"/>
          </w:tcPr>
          <w:p w:rsidR="00CE0C76" w:rsidRPr="006C69B9" w:rsidRDefault="00CE0C76" w:rsidP="006C69B9">
            <w:pPr>
              <w:spacing w:after="0" w:line="240" w:lineRule="auto"/>
              <w:jc w:val="center"/>
              <w:rPr>
                <w:rFonts w:ascii="Times New Roman" w:hAnsi="Times New Roman"/>
                <w:b/>
                <w:bCs/>
                <w:sz w:val="28"/>
                <w:szCs w:val="28"/>
              </w:rPr>
            </w:pPr>
            <w:r w:rsidRPr="006C69B9">
              <w:rPr>
                <w:rFonts w:ascii="Times New Roman" w:hAnsi="Times New Roman"/>
                <w:b/>
                <w:bCs/>
                <w:sz w:val="28"/>
                <w:szCs w:val="28"/>
              </w:rPr>
              <w:t>Заболевания</w:t>
            </w:r>
          </w:p>
        </w:tc>
        <w:tc>
          <w:tcPr>
            <w:tcW w:w="2610" w:type="dxa"/>
            <w:gridSpan w:val="2"/>
          </w:tcPr>
          <w:p w:rsidR="00CE0C76" w:rsidRPr="006C69B9" w:rsidRDefault="00CE0C76" w:rsidP="006C69B9">
            <w:pPr>
              <w:spacing w:after="0" w:line="240" w:lineRule="auto"/>
              <w:jc w:val="center"/>
              <w:rPr>
                <w:rFonts w:ascii="Times New Roman" w:hAnsi="Times New Roman"/>
                <w:b/>
                <w:bCs/>
                <w:sz w:val="28"/>
                <w:szCs w:val="28"/>
              </w:rPr>
            </w:pPr>
            <w:r w:rsidRPr="006C69B9">
              <w:rPr>
                <w:rFonts w:ascii="Times New Roman" w:hAnsi="Times New Roman"/>
                <w:b/>
                <w:bCs/>
                <w:sz w:val="28"/>
                <w:szCs w:val="28"/>
              </w:rPr>
              <w:t>Основная группа</w:t>
            </w:r>
          </w:p>
        </w:tc>
        <w:tc>
          <w:tcPr>
            <w:tcW w:w="2868" w:type="dxa"/>
            <w:gridSpan w:val="2"/>
          </w:tcPr>
          <w:p w:rsidR="00CE0C76" w:rsidRPr="006C69B9" w:rsidRDefault="00CE0C76" w:rsidP="006C69B9">
            <w:pPr>
              <w:spacing w:after="0" w:line="240" w:lineRule="auto"/>
              <w:jc w:val="center"/>
              <w:rPr>
                <w:rFonts w:ascii="Times New Roman" w:hAnsi="Times New Roman"/>
                <w:b/>
                <w:bCs/>
                <w:sz w:val="28"/>
                <w:szCs w:val="28"/>
              </w:rPr>
            </w:pPr>
            <w:r w:rsidRPr="006C69B9">
              <w:rPr>
                <w:rFonts w:ascii="Times New Roman" w:hAnsi="Times New Roman"/>
                <w:b/>
                <w:bCs/>
                <w:sz w:val="28"/>
                <w:szCs w:val="28"/>
              </w:rPr>
              <w:t>Контрольная группа</w:t>
            </w:r>
          </w:p>
        </w:tc>
      </w:tr>
      <w:tr w:rsidR="00CE0C76" w:rsidRPr="006C69B9" w:rsidTr="000E338A">
        <w:trPr>
          <w:cantSplit/>
          <w:jc w:val="center"/>
        </w:trPr>
        <w:tc>
          <w:tcPr>
            <w:tcW w:w="560" w:type="dxa"/>
            <w:vMerge/>
          </w:tcPr>
          <w:p w:rsidR="00CE0C76" w:rsidRPr="006C69B9" w:rsidRDefault="00CE0C76" w:rsidP="006C69B9">
            <w:pPr>
              <w:spacing w:after="0" w:line="240" w:lineRule="auto"/>
              <w:jc w:val="both"/>
              <w:rPr>
                <w:rFonts w:ascii="Times New Roman" w:hAnsi="Times New Roman"/>
                <w:sz w:val="28"/>
                <w:szCs w:val="28"/>
              </w:rPr>
            </w:pPr>
          </w:p>
        </w:tc>
        <w:tc>
          <w:tcPr>
            <w:tcW w:w="3280" w:type="dxa"/>
            <w:vMerge/>
          </w:tcPr>
          <w:p w:rsidR="00CE0C76" w:rsidRPr="006C69B9" w:rsidRDefault="00CE0C76" w:rsidP="006C69B9">
            <w:pPr>
              <w:spacing w:after="0" w:line="240" w:lineRule="auto"/>
              <w:jc w:val="both"/>
              <w:rPr>
                <w:rFonts w:ascii="Times New Roman" w:hAnsi="Times New Roman"/>
                <w:sz w:val="28"/>
                <w:szCs w:val="28"/>
              </w:rPr>
            </w:pP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Кол-во</w:t>
            </w:r>
          </w:p>
        </w:tc>
        <w:tc>
          <w:tcPr>
            <w:tcW w:w="1268"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Кол-во</w:t>
            </w:r>
          </w:p>
        </w:tc>
        <w:tc>
          <w:tcPr>
            <w:tcW w:w="1325"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w:t>
            </w:r>
          </w:p>
        </w:tc>
      </w:tr>
      <w:tr w:rsidR="00CE0C76" w:rsidRPr="006C69B9" w:rsidTr="000E338A">
        <w:trPr>
          <w:jc w:val="center"/>
        </w:trPr>
        <w:tc>
          <w:tcPr>
            <w:tcW w:w="560" w:type="dxa"/>
          </w:tcPr>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1</w:t>
            </w:r>
          </w:p>
        </w:tc>
        <w:tc>
          <w:tcPr>
            <w:tcW w:w="3280" w:type="dxa"/>
          </w:tcPr>
          <w:p w:rsidR="00CE0C76" w:rsidRPr="006C69B9" w:rsidRDefault="00CE0C76" w:rsidP="006C69B9">
            <w:pPr>
              <w:pStyle w:val="7"/>
              <w:spacing w:before="0" w:after="0"/>
              <w:rPr>
                <w:sz w:val="28"/>
                <w:szCs w:val="28"/>
              </w:rPr>
            </w:pPr>
            <w:r w:rsidRPr="006C69B9">
              <w:rPr>
                <w:sz w:val="28"/>
                <w:szCs w:val="28"/>
              </w:rPr>
              <w:t>Острый аппендицит</w:t>
            </w: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105</w:t>
            </w:r>
          </w:p>
        </w:tc>
        <w:tc>
          <w:tcPr>
            <w:tcW w:w="1268"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48,5</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123</w:t>
            </w:r>
          </w:p>
        </w:tc>
        <w:tc>
          <w:tcPr>
            <w:tcW w:w="1325"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rPr>
              <w:t>59,</w:t>
            </w:r>
            <w:r w:rsidRPr="006C69B9">
              <w:rPr>
                <w:rFonts w:ascii="Times New Roman" w:hAnsi="Times New Roman"/>
                <w:sz w:val="28"/>
                <w:szCs w:val="28"/>
                <w:lang w:val="en-US"/>
              </w:rPr>
              <w:t>7</w:t>
            </w:r>
          </w:p>
        </w:tc>
      </w:tr>
      <w:tr w:rsidR="00CE0C76" w:rsidRPr="006C69B9" w:rsidTr="000E338A">
        <w:trPr>
          <w:jc w:val="center"/>
        </w:trPr>
        <w:tc>
          <w:tcPr>
            <w:tcW w:w="560" w:type="dxa"/>
          </w:tcPr>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2</w:t>
            </w:r>
          </w:p>
        </w:tc>
        <w:tc>
          <w:tcPr>
            <w:tcW w:w="3280" w:type="dxa"/>
          </w:tcPr>
          <w:p w:rsidR="00CE0C76" w:rsidRPr="006C69B9" w:rsidRDefault="00CE0C76" w:rsidP="006C69B9">
            <w:pPr>
              <w:spacing w:after="0" w:line="240" w:lineRule="auto"/>
              <w:rPr>
                <w:rFonts w:ascii="Times New Roman" w:hAnsi="Times New Roman"/>
                <w:sz w:val="28"/>
                <w:szCs w:val="28"/>
              </w:rPr>
            </w:pPr>
            <w:r w:rsidRPr="006C69B9">
              <w:rPr>
                <w:rFonts w:ascii="Times New Roman" w:hAnsi="Times New Roman"/>
                <w:sz w:val="28"/>
                <w:szCs w:val="28"/>
              </w:rPr>
              <w:t>Перфоративная язва желудка и ДПК</w:t>
            </w: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59</w:t>
            </w:r>
          </w:p>
        </w:tc>
        <w:tc>
          <w:tcPr>
            <w:tcW w:w="1268"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27,2</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46</w:t>
            </w:r>
          </w:p>
        </w:tc>
        <w:tc>
          <w:tcPr>
            <w:tcW w:w="1325"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rPr>
              <w:t>22,</w:t>
            </w:r>
            <w:r w:rsidRPr="006C69B9">
              <w:rPr>
                <w:rFonts w:ascii="Times New Roman" w:hAnsi="Times New Roman"/>
                <w:sz w:val="28"/>
                <w:szCs w:val="28"/>
                <w:lang w:val="en-US"/>
              </w:rPr>
              <w:t>3</w:t>
            </w:r>
          </w:p>
        </w:tc>
      </w:tr>
      <w:tr w:rsidR="00CE0C76" w:rsidRPr="006C69B9" w:rsidTr="000E338A">
        <w:trPr>
          <w:jc w:val="center"/>
        </w:trPr>
        <w:tc>
          <w:tcPr>
            <w:tcW w:w="560" w:type="dxa"/>
          </w:tcPr>
          <w:p w:rsidR="00CE0C76" w:rsidRPr="006C69B9" w:rsidRDefault="00CE0C76" w:rsidP="006C69B9">
            <w:pPr>
              <w:spacing w:after="0" w:line="240" w:lineRule="auto"/>
              <w:jc w:val="both"/>
              <w:rPr>
                <w:rFonts w:ascii="Times New Roman" w:hAnsi="Times New Roman"/>
                <w:sz w:val="28"/>
                <w:szCs w:val="28"/>
                <w:lang w:val="en-US"/>
              </w:rPr>
            </w:pPr>
            <w:r w:rsidRPr="006C69B9">
              <w:rPr>
                <w:rFonts w:ascii="Times New Roman" w:hAnsi="Times New Roman"/>
                <w:sz w:val="28"/>
                <w:szCs w:val="28"/>
                <w:lang w:val="en-US"/>
              </w:rPr>
              <w:t>3</w:t>
            </w:r>
          </w:p>
        </w:tc>
        <w:tc>
          <w:tcPr>
            <w:tcW w:w="3280" w:type="dxa"/>
          </w:tcPr>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lang w:val="en-US"/>
              </w:rPr>
              <w:t xml:space="preserve">Острый </w:t>
            </w:r>
            <w:r w:rsidRPr="006C69B9">
              <w:rPr>
                <w:rFonts w:ascii="Times New Roman" w:hAnsi="Times New Roman"/>
                <w:sz w:val="28"/>
                <w:szCs w:val="28"/>
              </w:rPr>
              <w:t>холецистит</w:t>
            </w: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22</w:t>
            </w:r>
          </w:p>
        </w:tc>
        <w:tc>
          <w:tcPr>
            <w:tcW w:w="1268"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rPr>
              <w:t>10,2</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16</w:t>
            </w:r>
          </w:p>
        </w:tc>
        <w:tc>
          <w:tcPr>
            <w:tcW w:w="1325"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lang w:val="en-US"/>
              </w:rPr>
              <w:t>7,8</w:t>
            </w:r>
          </w:p>
        </w:tc>
      </w:tr>
      <w:tr w:rsidR="00CE0C76" w:rsidRPr="006C69B9" w:rsidTr="000E338A">
        <w:trPr>
          <w:jc w:val="center"/>
        </w:trPr>
        <w:tc>
          <w:tcPr>
            <w:tcW w:w="560" w:type="dxa"/>
          </w:tcPr>
          <w:p w:rsidR="00CE0C76" w:rsidRPr="006C69B9" w:rsidRDefault="00CE0C76" w:rsidP="006C69B9">
            <w:pPr>
              <w:spacing w:after="0" w:line="240" w:lineRule="auto"/>
              <w:jc w:val="both"/>
              <w:rPr>
                <w:rFonts w:ascii="Times New Roman" w:hAnsi="Times New Roman"/>
                <w:sz w:val="28"/>
                <w:szCs w:val="28"/>
                <w:lang w:val="en-US"/>
              </w:rPr>
            </w:pPr>
            <w:r w:rsidRPr="006C69B9">
              <w:rPr>
                <w:rFonts w:ascii="Times New Roman" w:hAnsi="Times New Roman"/>
                <w:sz w:val="28"/>
                <w:szCs w:val="28"/>
                <w:lang w:val="en-US"/>
              </w:rPr>
              <w:t>4</w:t>
            </w:r>
          </w:p>
        </w:tc>
        <w:tc>
          <w:tcPr>
            <w:tcW w:w="3280" w:type="dxa"/>
          </w:tcPr>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Острый панкреатит</w:t>
            </w: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12</w:t>
            </w:r>
          </w:p>
        </w:tc>
        <w:tc>
          <w:tcPr>
            <w:tcW w:w="1268"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lang w:val="en-US"/>
              </w:rPr>
              <w:t>5</w:t>
            </w:r>
            <w:r w:rsidRPr="006C69B9">
              <w:rPr>
                <w:rFonts w:ascii="Times New Roman" w:hAnsi="Times New Roman"/>
                <w:sz w:val="28"/>
                <w:szCs w:val="28"/>
              </w:rPr>
              <w:t>,</w:t>
            </w:r>
            <w:r w:rsidRPr="006C69B9">
              <w:rPr>
                <w:rFonts w:ascii="Times New Roman" w:hAnsi="Times New Roman"/>
                <w:sz w:val="28"/>
                <w:szCs w:val="28"/>
                <w:lang w:val="en-US"/>
              </w:rPr>
              <w:t>5</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7</w:t>
            </w:r>
          </w:p>
        </w:tc>
        <w:tc>
          <w:tcPr>
            <w:tcW w:w="1325"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lang w:val="en-US"/>
              </w:rPr>
              <w:t>3</w:t>
            </w:r>
            <w:r w:rsidRPr="006C69B9">
              <w:rPr>
                <w:rFonts w:ascii="Times New Roman" w:hAnsi="Times New Roman"/>
                <w:sz w:val="28"/>
                <w:szCs w:val="28"/>
              </w:rPr>
              <w:t>,</w:t>
            </w:r>
            <w:r w:rsidRPr="006C69B9">
              <w:rPr>
                <w:rFonts w:ascii="Times New Roman" w:hAnsi="Times New Roman"/>
                <w:sz w:val="28"/>
                <w:szCs w:val="28"/>
                <w:lang w:val="en-US"/>
              </w:rPr>
              <w:t>4</w:t>
            </w:r>
          </w:p>
        </w:tc>
      </w:tr>
      <w:tr w:rsidR="00CE0C76" w:rsidRPr="006C69B9" w:rsidTr="000E338A">
        <w:trPr>
          <w:jc w:val="center"/>
        </w:trPr>
        <w:tc>
          <w:tcPr>
            <w:tcW w:w="560" w:type="dxa"/>
          </w:tcPr>
          <w:p w:rsidR="00CE0C76" w:rsidRPr="006C69B9" w:rsidRDefault="00CE0C76" w:rsidP="006C69B9">
            <w:pPr>
              <w:spacing w:after="0" w:line="240" w:lineRule="auto"/>
              <w:jc w:val="both"/>
              <w:rPr>
                <w:rFonts w:ascii="Times New Roman" w:hAnsi="Times New Roman"/>
                <w:sz w:val="28"/>
                <w:szCs w:val="28"/>
                <w:lang w:val="en-US"/>
              </w:rPr>
            </w:pPr>
            <w:r w:rsidRPr="006C69B9">
              <w:rPr>
                <w:rFonts w:ascii="Times New Roman" w:hAnsi="Times New Roman"/>
                <w:sz w:val="28"/>
                <w:szCs w:val="28"/>
                <w:lang w:val="en-US"/>
              </w:rPr>
              <w:t>5</w:t>
            </w:r>
          </w:p>
        </w:tc>
        <w:tc>
          <w:tcPr>
            <w:tcW w:w="3280" w:type="dxa"/>
          </w:tcPr>
          <w:p w:rsidR="00CE0C76" w:rsidRPr="006C69B9" w:rsidRDefault="00CE0C76" w:rsidP="006C69B9">
            <w:pPr>
              <w:spacing w:after="0" w:line="240" w:lineRule="auto"/>
              <w:rPr>
                <w:rFonts w:ascii="Times New Roman" w:hAnsi="Times New Roman"/>
                <w:sz w:val="28"/>
                <w:szCs w:val="28"/>
              </w:rPr>
            </w:pPr>
            <w:r w:rsidRPr="006C69B9">
              <w:rPr>
                <w:rFonts w:ascii="Times New Roman" w:hAnsi="Times New Roman"/>
                <w:sz w:val="28"/>
                <w:szCs w:val="28"/>
              </w:rPr>
              <w:t>Травмы органов брюшной полости</w:t>
            </w: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18</w:t>
            </w:r>
          </w:p>
        </w:tc>
        <w:tc>
          <w:tcPr>
            <w:tcW w:w="1268"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8,6</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14</w:t>
            </w:r>
          </w:p>
        </w:tc>
        <w:tc>
          <w:tcPr>
            <w:tcW w:w="1325"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lang w:val="en-US"/>
              </w:rPr>
              <w:t>6</w:t>
            </w:r>
            <w:r w:rsidRPr="006C69B9">
              <w:rPr>
                <w:rFonts w:ascii="Times New Roman" w:hAnsi="Times New Roman"/>
                <w:sz w:val="28"/>
                <w:szCs w:val="28"/>
              </w:rPr>
              <w:t>,</w:t>
            </w:r>
            <w:r w:rsidRPr="006C69B9">
              <w:rPr>
                <w:rFonts w:ascii="Times New Roman" w:hAnsi="Times New Roman"/>
                <w:sz w:val="28"/>
                <w:szCs w:val="28"/>
                <w:lang w:val="en-US"/>
              </w:rPr>
              <w:t>8</w:t>
            </w:r>
          </w:p>
        </w:tc>
      </w:tr>
      <w:tr w:rsidR="00CE0C76" w:rsidRPr="006C69B9" w:rsidTr="000E338A">
        <w:trPr>
          <w:jc w:val="center"/>
        </w:trPr>
        <w:tc>
          <w:tcPr>
            <w:tcW w:w="560" w:type="dxa"/>
          </w:tcPr>
          <w:p w:rsidR="00CE0C76" w:rsidRPr="006C69B9" w:rsidRDefault="00CE0C76" w:rsidP="006C69B9">
            <w:pPr>
              <w:spacing w:after="0" w:line="240" w:lineRule="auto"/>
              <w:jc w:val="both"/>
              <w:rPr>
                <w:rFonts w:ascii="Times New Roman" w:hAnsi="Times New Roman"/>
                <w:sz w:val="28"/>
                <w:szCs w:val="28"/>
              </w:rPr>
            </w:pPr>
          </w:p>
        </w:tc>
        <w:tc>
          <w:tcPr>
            <w:tcW w:w="3280" w:type="dxa"/>
          </w:tcPr>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Всего</w:t>
            </w:r>
          </w:p>
        </w:tc>
        <w:tc>
          <w:tcPr>
            <w:tcW w:w="1342"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216</w:t>
            </w:r>
          </w:p>
        </w:tc>
        <w:tc>
          <w:tcPr>
            <w:tcW w:w="1268"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rPr>
              <w:t>100</w:t>
            </w:r>
            <w:r w:rsidRPr="006C69B9">
              <w:rPr>
                <w:rFonts w:ascii="Times New Roman" w:hAnsi="Times New Roman"/>
                <w:sz w:val="28"/>
                <w:szCs w:val="28"/>
                <w:lang w:val="en-US"/>
              </w:rPr>
              <w:t>,0</w:t>
            </w:r>
          </w:p>
        </w:tc>
        <w:tc>
          <w:tcPr>
            <w:tcW w:w="1543" w:type="dxa"/>
          </w:tcPr>
          <w:p w:rsidR="00CE0C76" w:rsidRPr="006C69B9" w:rsidRDefault="00CE0C76" w:rsidP="006C69B9">
            <w:pPr>
              <w:spacing w:after="0" w:line="240" w:lineRule="auto"/>
              <w:jc w:val="center"/>
              <w:rPr>
                <w:rFonts w:ascii="Times New Roman" w:hAnsi="Times New Roman"/>
                <w:sz w:val="28"/>
                <w:szCs w:val="28"/>
              </w:rPr>
            </w:pPr>
            <w:r w:rsidRPr="006C69B9">
              <w:rPr>
                <w:rFonts w:ascii="Times New Roman" w:hAnsi="Times New Roman"/>
                <w:sz w:val="28"/>
                <w:szCs w:val="28"/>
              </w:rPr>
              <w:t>206</w:t>
            </w:r>
          </w:p>
        </w:tc>
        <w:tc>
          <w:tcPr>
            <w:tcW w:w="1325" w:type="dxa"/>
          </w:tcPr>
          <w:p w:rsidR="00CE0C76" w:rsidRPr="006C69B9" w:rsidRDefault="00CE0C76" w:rsidP="006C69B9">
            <w:pPr>
              <w:spacing w:after="0" w:line="240" w:lineRule="auto"/>
              <w:jc w:val="center"/>
              <w:rPr>
                <w:rFonts w:ascii="Times New Roman" w:hAnsi="Times New Roman"/>
                <w:sz w:val="28"/>
                <w:szCs w:val="28"/>
                <w:lang w:val="en-US"/>
              </w:rPr>
            </w:pPr>
            <w:r w:rsidRPr="006C69B9">
              <w:rPr>
                <w:rFonts w:ascii="Times New Roman" w:hAnsi="Times New Roman"/>
                <w:sz w:val="28"/>
                <w:szCs w:val="28"/>
              </w:rPr>
              <w:t>100</w:t>
            </w:r>
            <w:r w:rsidRPr="006C69B9">
              <w:rPr>
                <w:rFonts w:ascii="Times New Roman" w:hAnsi="Times New Roman"/>
                <w:sz w:val="28"/>
                <w:szCs w:val="28"/>
                <w:lang w:val="en-US"/>
              </w:rPr>
              <w:t>,0</w:t>
            </w:r>
          </w:p>
        </w:tc>
      </w:tr>
    </w:tbl>
    <w:p w:rsidR="00CE0C76" w:rsidRPr="006C69B9" w:rsidRDefault="00CE0C76" w:rsidP="006C69B9">
      <w:pPr>
        <w:spacing w:after="0" w:line="240" w:lineRule="auto"/>
        <w:ind w:firstLine="709"/>
        <w:jc w:val="both"/>
        <w:rPr>
          <w:rFonts w:ascii="Times New Roman" w:hAnsi="Times New Roman"/>
          <w:sz w:val="28"/>
          <w:szCs w:val="28"/>
        </w:rPr>
      </w:pPr>
    </w:p>
    <w:p w:rsidR="00CE0C76" w:rsidRPr="006C69B9" w:rsidRDefault="00CE0C76" w:rsidP="006C69B9">
      <w:pPr>
        <w:spacing w:after="0" w:line="240" w:lineRule="auto"/>
        <w:ind w:firstLine="709"/>
        <w:jc w:val="both"/>
        <w:rPr>
          <w:rFonts w:ascii="Times New Roman" w:hAnsi="Times New Roman"/>
          <w:sz w:val="28"/>
          <w:szCs w:val="28"/>
        </w:rPr>
      </w:pPr>
      <w:r w:rsidRPr="006C69B9">
        <w:rPr>
          <w:rFonts w:ascii="Times New Roman" w:hAnsi="Times New Roman"/>
          <w:sz w:val="28"/>
          <w:szCs w:val="28"/>
        </w:rPr>
        <w:t>Как видно из данных таблицы, причинами ИАИ у исследуемых больных, представлены 5 основными нозологиями: острый аппендицит (228), перфоративная язва желудка и ДПК (105), острый холецистит (38), острый панкреатит (67) и травмы органов брюшной полости (32).</w:t>
      </w:r>
    </w:p>
    <w:p w:rsidR="00CE0C76" w:rsidRPr="006C69B9" w:rsidRDefault="00CE0C76" w:rsidP="006C69B9">
      <w:pPr>
        <w:spacing w:after="0" w:line="240" w:lineRule="auto"/>
        <w:ind w:firstLine="709"/>
        <w:jc w:val="both"/>
        <w:rPr>
          <w:rFonts w:ascii="Times New Roman" w:hAnsi="Times New Roman"/>
          <w:color w:val="000000"/>
          <w:sz w:val="28"/>
          <w:szCs w:val="28"/>
        </w:rPr>
      </w:pPr>
      <w:r w:rsidRPr="006C69B9">
        <w:rPr>
          <w:rFonts w:ascii="Times New Roman" w:hAnsi="Times New Roman"/>
          <w:sz w:val="28"/>
          <w:szCs w:val="28"/>
        </w:rPr>
        <w:t xml:space="preserve">У 366 (86,8%) больных, перед операцией, наблюдалась клиническая картина </w:t>
      </w:r>
      <w:r w:rsidRPr="006C69B9">
        <w:rPr>
          <w:rFonts w:ascii="Times New Roman" w:hAnsi="Times New Roman"/>
          <w:color w:val="000000"/>
          <w:sz w:val="28"/>
          <w:szCs w:val="28"/>
        </w:rPr>
        <w:t>распространенного перитонита, у остальных 56 (12,2%) заболевание протекало с формированием абсцесса в брюшной полости (ограниченный перитонит) или забрюшинном пространстве.</w:t>
      </w:r>
    </w:p>
    <w:p w:rsidR="00CE0C76" w:rsidRPr="006C69B9" w:rsidRDefault="00CE0C76" w:rsidP="006C69B9">
      <w:pPr>
        <w:spacing w:after="0" w:line="240" w:lineRule="auto"/>
        <w:ind w:firstLine="709"/>
        <w:jc w:val="both"/>
        <w:rPr>
          <w:rFonts w:ascii="Times New Roman" w:hAnsi="Times New Roman"/>
          <w:sz w:val="28"/>
          <w:szCs w:val="28"/>
        </w:rPr>
      </w:pPr>
      <w:r w:rsidRPr="006C69B9">
        <w:rPr>
          <w:rFonts w:ascii="Times New Roman" w:hAnsi="Times New Roman"/>
          <w:sz w:val="28"/>
          <w:szCs w:val="28"/>
        </w:rPr>
        <w:t>Все больные были оперированы. Устранение основного очага перитонита заключалось в аппендэктомии у 224 (49,8%)  больных с деструктивной формой аппендицита, у 86 (19,1%) больного произведено ушивание язвы желудка и двенадцатиперстной кишки, в 19 случаях была произведена резекция желудка, в 38 случаях выполнена холецистэктомия, из них у 14 операция закончилась наружным дренированием холедоха, ушивание ран органов (печень, желудок, кишечник, брыжейка, сальник) брюшной полости при травме живота у 26 больных.</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С целью повышения эффективности комплексного лечения больных с абдоминальной инфекцией нами разработан и внедрен способ экстракорпоральной антибиотикотерапии.</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r>
      <w:r w:rsidRPr="006C69B9">
        <w:rPr>
          <w:rFonts w:ascii="Times New Roman" w:hAnsi="Times New Roman"/>
          <w:b/>
          <w:sz w:val="28"/>
          <w:szCs w:val="28"/>
        </w:rPr>
        <w:t>Способ осуществляется следующим образом:</w:t>
      </w:r>
      <w:r w:rsidRPr="006C69B9">
        <w:rPr>
          <w:rFonts w:ascii="Times New Roman" w:hAnsi="Times New Roman"/>
          <w:sz w:val="28"/>
          <w:szCs w:val="28"/>
        </w:rPr>
        <w:t xml:space="preserve"> </w:t>
      </w:r>
    </w:p>
    <w:p w:rsidR="00CE0C76" w:rsidRPr="006C69B9" w:rsidRDefault="00CE0C76" w:rsidP="006C69B9">
      <w:pPr>
        <w:spacing w:after="0" w:line="240" w:lineRule="auto"/>
        <w:ind w:firstLine="708"/>
        <w:jc w:val="both"/>
        <w:rPr>
          <w:rFonts w:ascii="Times New Roman" w:hAnsi="Times New Roman"/>
          <w:sz w:val="28"/>
          <w:szCs w:val="28"/>
        </w:rPr>
      </w:pPr>
      <w:r w:rsidRPr="006C69B9">
        <w:rPr>
          <w:rFonts w:ascii="Times New Roman" w:hAnsi="Times New Roman"/>
          <w:sz w:val="28"/>
          <w:szCs w:val="28"/>
        </w:rPr>
        <w:t xml:space="preserve">В стерильных условиях берется кровь из вены добавляется 5000 ед гепарина (для профилактики свертываемости). Кровь пациента, в количестве 20 мл., в пробирке центрифугируется, в результате чего жидкая часть крови (плазма) отделяется от форменных элементов (эритроцитов). Плазма крови представляет собой лейкоцитарную взвесь, содержащая большое количество </w:t>
      </w:r>
      <w:r w:rsidRPr="006C69B9">
        <w:rPr>
          <w:rFonts w:ascii="Times New Roman" w:hAnsi="Times New Roman"/>
          <w:sz w:val="28"/>
          <w:szCs w:val="28"/>
        </w:rPr>
        <w:lastRenderedPageBreak/>
        <w:t>лимфоцитов. Плазма крови переносится в отдельную стерильную пробирку. Затем, с целью оксигенации и стерилизации плазмы, содержимое пробирки обрабатывают в течение 10-15 минут озоно-воздушной смесью, после чего в пробирку добавляют суточную дозу антибиотика (выбор антибиотика в зависимости от чувствительности микрофлоры) и полиоксидоний 6,0 мг. Пробирку герметично закрывают и ставят в термостат, при температуре 37°С в течение 1-2 часов. После чего, проверяется индивидуальная совместимость полученной сыворотки с кровью пациента, затем сыворотка разбавляется изотоническим раствором и переливается больному.</w:t>
      </w:r>
    </w:p>
    <w:p w:rsidR="00CE0C76" w:rsidRPr="006C69B9" w:rsidRDefault="00CE0C76" w:rsidP="006C69B9">
      <w:pPr>
        <w:pStyle w:val="mail"/>
        <w:spacing w:before="0" w:beforeAutospacing="0" w:after="0" w:afterAutospacing="0"/>
        <w:ind w:left="0" w:right="0"/>
        <w:rPr>
          <w:rFonts w:ascii="Times New Roman" w:hAnsi="Times New Roman"/>
          <w:color w:val="000000"/>
          <w:sz w:val="28"/>
          <w:szCs w:val="28"/>
        </w:rPr>
      </w:pPr>
      <w:r w:rsidRPr="006C69B9">
        <w:rPr>
          <w:rFonts w:ascii="Times New Roman" w:hAnsi="Times New Roman"/>
          <w:color w:val="000000"/>
          <w:sz w:val="28"/>
          <w:szCs w:val="28"/>
        </w:rPr>
        <w:tab/>
        <w:t>Сущность предлагаемого способа поясняется клиническим примером</w:t>
      </w:r>
      <w:r w:rsidRPr="006C69B9">
        <w:rPr>
          <w:rFonts w:ascii="Times New Roman" w:hAnsi="Times New Roman"/>
          <w:sz w:val="28"/>
          <w:szCs w:val="28"/>
        </w:rPr>
        <w:t>:</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Больная В. 56 лет (история болезни N 6833) поступила в АМКБ в крайне тяжелом состоянии на 20 сутки с момента заболевания с диагнозом: Острый деструктивный холецистит. Разлитой гнойно-фибринозный желчный перитонит, токсемическая фаза. Сепсис.</w:t>
      </w:r>
    </w:p>
    <w:p w:rsidR="00CE0C76" w:rsidRPr="006C69B9" w:rsidRDefault="00CE0C76" w:rsidP="006C69B9">
      <w:pPr>
        <w:spacing w:after="0" w:line="240" w:lineRule="auto"/>
        <w:jc w:val="both"/>
        <w:rPr>
          <w:rFonts w:ascii="Times New Roman" w:hAnsi="Times New Roman"/>
          <w:iCs/>
          <w:sz w:val="28"/>
          <w:szCs w:val="28"/>
        </w:rPr>
      </w:pPr>
      <w:r w:rsidRPr="006C69B9">
        <w:rPr>
          <w:rFonts w:ascii="Times New Roman" w:hAnsi="Times New Roman"/>
          <w:iCs/>
          <w:sz w:val="28"/>
          <w:szCs w:val="28"/>
        </w:rPr>
        <w:tab/>
        <w:t>При поступлении общее состояние крайне тяжелое. Сознание ясное, заторможена, на вопросы отвечает односложно. Кожа, видимые слизистые бледные, сухие. Дыхание ослабленное, ЧДД- 22в минуту; Тоны сердца глухие, ритмичные, АД- 90/60 мм.рт.ст.; пульс- 120-122 в мин. слабого наполнения и напряжения. Язык сухой, густо обложен серым налетом. Живот в акте дыхания не участвует, вздут; при пальпации болезнен во всех отделах. Положительный симптом раздражения брюшины.</w:t>
      </w:r>
    </w:p>
    <w:p w:rsidR="00CE0C76" w:rsidRPr="006C69B9" w:rsidRDefault="00CE0C76" w:rsidP="006C69B9">
      <w:pPr>
        <w:spacing w:after="0" w:line="240" w:lineRule="auto"/>
        <w:jc w:val="both"/>
        <w:rPr>
          <w:rFonts w:ascii="Times New Roman" w:hAnsi="Times New Roman"/>
          <w:iCs/>
          <w:sz w:val="28"/>
          <w:szCs w:val="28"/>
        </w:rPr>
      </w:pPr>
      <w:r w:rsidRPr="006C69B9">
        <w:rPr>
          <w:rFonts w:ascii="Times New Roman" w:hAnsi="Times New Roman"/>
          <w:iCs/>
          <w:sz w:val="28"/>
          <w:szCs w:val="28"/>
        </w:rPr>
        <w:tab/>
        <w:t>Анализы клинико-лабораторных исследований на момент поступления: Эр – 2,8х10</w:t>
      </w:r>
      <w:r w:rsidRPr="006C69B9">
        <w:rPr>
          <w:rFonts w:ascii="Times New Roman" w:hAnsi="Times New Roman"/>
          <w:iCs/>
          <w:sz w:val="28"/>
          <w:szCs w:val="28"/>
          <w:vertAlign w:val="superscript"/>
        </w:rPr>
        <w:t>12</w:t>
      </w:r>
      <w:r w:rsidRPr="006C69B9">
        <w:rPr>
          <w:rFonts w:ascii="Times New Roman" w:hAnsi="Times New Roman"/>
          <w:iCs/>
          <w:sz w:val="28"/>
          <w:szCs w:val="28"/>
        </w:rPr>
        <w:t>; Нб- 92г/л; Л- 23х10</w:t>
      </w:r>
      <w:r w:rsidRPr="006C69B9">
        <w:rPr>
          <w:rFonts w:ascii="Times New Roman" w:hAnsi="Times New Roman"/>
          <w:iCs/>
          <w:sz w:val="28"/>
          <w:szCs w:val="28"/>
          <w:vertAlign w:val="superscript"/>
        </w:rPr>
        <w:t>9</w:t>
      </w:r>
      <w:r w:rsidRPr="006C69B9">
        <w:rPr>
          <w:rFonts w:ascii="Times New Roman" w:hAnsi="Times New Roman"/>
          <w:iCs/>
          <w:sz w:val="28"/>
          <w:szCs w:val="28"/>
        </w:rPr>
        <w:t>; Э-3;Нейтр.- 4; П-21; С-58; Лимф.-18; Мон-6.; СОЭ- 36:, токсическая зернистость «+++», анизоцитоз, пойкилоцитоз. ЛИИ- 5,0; общ.белок –52г/л; сахар крови-5,8ммоль/л; общ.бил.- 16,8ммоль/л; прямой- 8,2ммоль/л; мочевина- 7,3ммоль/л.</w:t>
      </w:r>
    </w:p>
    <w:p w:rsidR="00CE0C76" w:rsidRPr="006C69B9" w:rsidRDefault="00CE0C76" w:rsidP="006C69B9">
      <w:pPr>
        <w:spacing w:after="0" w:line="240" w:lineRule="auto"/>
        <w:jc w:val="both"/>
        <w:rPr>
          <w:rFonts w:ascii="Times New Roman" w:hAnsi="Times New Roman"/>
          <w:iCs/>
          <w:sz w:val="28"/>
          <w:szCs w:val="28"/>
        </w:rPr>
      </w:pPr>
      <w:r w:rsidRPr="006C69B9">
        <w:rPr>
          <w:rFonts w:ascii="Times New Roman" w:hAnsi="Times New Roman"/>
          <w:iCs/>
          <w:sz w:val="28"/>
          <w:szCs w:val="28"/>
        </w:rPr>
        <w:tab/>
        <w:t>После предоперационной подготовки произведена экстренная операция – Лапаротомия, холецистэктомия, санация и дренирование брюшной полости.</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Больной в программу лечения, с первых суток после операции, включена экстракорпоральная антибактериальная (роцефин 2,0) и иммунофармакотерапия (циклоферон 2,0) по нашему способу. Всего было проведено 3 сеанса ЭАИФТ.</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Клинически состояние больного постепенно улучшалось, на 11 сутки с момента поступления в стационар больная в сознании, менее выражена одышка и тахикардия.</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 xml:space="preserve">В анализах крови </w:t>
      </w:r>
      <w:r w:rsidRPr="006C69B9">
        <w:rPr>
          <w:rFonts w:ascii="Times New Roman" w:hAnsi="Times New Roman"/>
          <w:iCs/>
          <w:sz w:val="28"/>
          <w:szCs w:val="28"/>
        </w:rPr>
        <w:t>Эр – 3,8х10</w:t>
      </w:r>
      <w:r w:rsidRPr="006C69B9">
        <w:rPr>
          <w:rFonts w:ascii="Times New Roman" w:hAnsi="Times New Roman"/>
          <w:iCs/>
          <w:sz w:val="28"/>
          <w:szCs w:val="28"/>
          <w:vertAlign w:val="superscript"/>
        </w:rPr>
        <w:t>12</w:t>
      </w:r>
      <w:r w:rsidRPr="006C69B9">
        <w:rPr>
          <w:rFonts w:ascii="Times New Roman" w:hAnsi="Times New Roman"/>
          <w:iCs/>
          <w:sz w:val="28"/>
          <w:szCs w:val="28"/>
        </w:rPr>
        <w:t>; Нб- 112г/л; Л- 9,6х10</w:t>
      </w:r>
      <w:r w:rsidRPr="006C69B9">
        <w:rPr>
          <w:rFonts w:ascii="Times New Roman" w:hAnsi="Times New Roman"/>
          <w:iCs/>
          <w:sz w:val="28"/>
          <w:szCs w:val="28"/>
          <w:vertAlign w:val="superscript"/>
        </w:rPr>
        <w:t>9</w:t>
      </w:r>
      <w:r w:rsidRPr="006C69B9">
        <w:rPr>
          <w:rFonts w:ascii="Times New Roman" w:hAnsi="Times New Roman"/>
          <w:iCs/>
          <w:sz w:val="28"/>
          <w:szCs w:val="28"/>
        </w:rPr>
        <w:t>; Э-2;Нейтр.- 2; П-2; С-18; Лимф.-8; Мон-6.; ЛИИ- 1,0; общ.белок –72г/л; сахар крови-5,8ммоль/л; общ.бил.- 16,8ммоль/л; прямой- 8,2ммоль/л; мочевина- 7,3ммоль/л.</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В дальнейшем по мере проведения комплексной интенсивной терапии состояние больной постепенно улучшалось, выписана из стационара в удовлетворительном состояний на 21 сутки.</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В клинике данный способ э</w:t>
      </w:r>
      <w:r w:rsidRPr="006C69B9">
        <w:rPr>
          <w:rFonts w:ascii="Times New Roman" w:hAnsi="Times New Roman"/>
          <w:sz w:val="28"/>
          <w:szCs w:val="28"/>
          <w:lang w:eastAsia="ru-RU"/>
        </w:rPr>
        <w:t>кстракорпоральной антибактериальной иммуннофармакотерапии (ЭАИФТ), с использованием лейкоцитарной массы,</w:t>
      </w:r>
      <w:r w:rsidRPr="006C69B9">
        <w:rPr>
          <w:rFonts w:ascii="Times New Roman" w:hAnsi="Times New Roman"/>
          <w:sz w:val="28"/>
          <w:szCs w:val="28"/>
        </w:rPr>
        <w:t xml:space="preserve"> </w:t>
      </w:r>
      <w:r w:rsidRPr="006C69B9">
        <w:rPr>
          <w:rFonts w:ascii="Times New Roman" w:hAnsi="Times New Roman"/>
          <w:sz w:val="28"/>
          <w:szCs w:val="28"/>
        </w:rPr>
        <w:lastRenderedPageBreak/>
        <w:t>был применен у 216 больных , в возрасте от 16 до 68 лет, с тяжелой степенью ИАИ.</w:t>
      </w:r>
    </w:p>
    <w:p w:rsidR="00CE0C76" w:rsidRPr="006C69B9" w:rsidRDefault="00CE0C76" w:rsidP="006C69B9">
      <w:pPr>
        <w:spacing w:after="0" w:line="240" w:lineRule="auto"/>
        <w:ind w:firstLine="450"/>
        <w:jc w:val="both"/>
        <w:rPr>
          <w:rFonts w:ascii="Times New Roman" w:eastAsia="Times New Roman" w:hAnsi="Times New Roman"/>
          <w:color w:val="000000"/>
          <w:sz w:val="28"/>
          <w:szCs w:val="28"/>
          <w:lang w:eastAsia="ru-RU"/>
        </w:rPr>
      </w:pPr>
      <w:r w:rsidRPr="006C69B9">
        <w:rPr>
          <w:rFonts w:ascii="Times New Roman" w:eastAsia="Times New Roman" w:hAnsi="Times New Roman"/>
          <w:color w:val="000000"/>
          <w:sz w:val="28"/>
          <w:szCs w:val="28"/>
          <w:lang w:eastAsia="ru-RU"/>
        </w:rPr>
        <w:t>Оценка эффективности предлагаемого способа в комплексной терапии больных с ИАИ проводилась по результатам бактериологических, иммунологических и клинико-лабраторных исследований.</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lang w:eastAsia="ru-RU"/>
        </w:rPr>
        <w:tab/>
        <w:t>ЭАИФТ, с использованием лейкоцитарной массы, позволил снизить бактериальную обсемененность перитонеального экссудата, у исследуемых больных,</w:t>
      </w:r>
      <w:r w:rsidRPr="006C69B9">
        <w:rPr>
          <w:rFonts w:ascii="Times New Roman" w:hAnsi="Times New Roman"/>
          <w:sz w:val="28"/>
          <w:szCs w:val="28"/>
        </w:rPr>
        <w:t xml:space="preserve"> в течение первых суток в 2-3 раза (с 10</w:t>
      </w:r>
      <w:r w:rsidRPr="006C69B9">
        <w:rPr>
          <w:rFonts w:ascii="Times New Roman" w:hAnsi="Times New Roman"/>
          <w:sz w:val="28"/>
          <w:szCs w:val="28"/>
          <w:vertAlign w:val="superscript"/>
        </w:rPr>
        <w:t>5-6</w:t>
      </w:r>
      <w:r w:rsidRPr="006C69B9">
        <w:rPr>
          <w:rFonts w:ascii="Times New Roman" w:hAnsi="Times New Roman"/>
          <w:sz w:val="28"/>
          <w:szCs w:val="28"/>
        </w:rPr>
        <w:t xml:space="preserve"> до 10</w:t>
      </w:r>
      <w:r w:rsidRPr="006C69B9">
        <w:rPr>
          <w:rFonts w:ascii="Times New Roman" w:hAnsi="Times New Roman"/>
          <w:sz w:val="28"/>
          <w:szCs w:val="28"/>
          <w:vertAlign w:val="superscript"/>
        </w:rPr>
        <w:t>3-4</w:t>
      </w:r>
      <w:r w:rsidRPr="006C69B9">
        <w:rPr>
          <w:rFonts w:ascii="Times New Roman" w:hAnsi="Times New Roman"/>
          <w:sz w:val="28"/>
          <w:szCs w:val="28"/>
        </w:rPr>
        <w:t>), на 2-е сутки после операции до 10</w:t>
      </w:r>
      <w:r w:rsidRPr="006C69B9">
        <w:rPr>
          <w:rFonts w:ascii="Times New Roman" w:hAnsi="Times New Roman"/>
          <w:sz w:val="28"/>
          <w:szCs w:val="28"/>
          <w:vertAlign w:val="superscript"/>
        </w:rPr>
        <w:t>2-3</w:t>
      </w:r>
      <w:r w:rsidRPr="006C69B9">
        <w:rPr>
          <w:rFonts w:ascii="Times New Roman" w:hAnsi="Times New Roman"/>
          <w:color w:val="000000"/>
          <w:sz w:val="28"/>
          <w:szCs w:val="28"/>
        </w:rPr>
        <w:t>, с</w:t>
      </w:r>
      <w:r w:rsidRPr="006C69B9">
        <w:rPr>
          <w:rFonts w:ascii="Times New Roman" w:hAnsi="Times New Roman"/>
          <w:sz w:val="28"/>
          <w:szCs w:val="28"/>
        </w:rPr>
        <w:t xml:space="preserve"> максимальным снижением (до 10</w:t>
      </w:r>
      <w:r w:rsidRPr="006C69B9">
        <w:rPr>
          <w:rFonts w:ascii="Times New Roman" w:hAnsi="Times New Roman"/>
          <w:sz w:val="28"/>
          <w:szCs w:val="28"/>
          <w:vertAlign w:val="superscript"/>
        </w:rPr>
        <w:t>1</w:t>
      </w:r>
      <w:r w:rsidRPr="006C69B9">
        <w:rPr>
          <w:rFonts w:ascii="Times New Roman" w:hAnsi="Times New Roman"/>
          <w:sz w:val="28"/>
          <w:szCs w:val="28"/>
        </w:rPr>
        <w:t>) на 5-7 сутки.</w:t>
      </w:r>
    </w:p>
    <w:p w:rsidR="00CE0C76" w:rsidRPr="006C69B9" w:rsidRDefault="00CE0C76" w:rsidP="006C69B9">
      <w:pPr>
        <w:spacing w:after="0" w:line="240" w:lineRule="auto"/>
        <w:ind w:firstLine="545"/>
        <w:jc w:val="both"/>
        <w:rPr>
          <w:rFonts w:ascii="Times New Roman" w:hAnsi="Times New Roman"/>
          <w:sz w:val="28"/>
          <w:szCs w:val="28"/>
        </w:rPr>
      </w:pPr>
      <w:r w:rsidRPr="006C69B9">
        <w:rPr>
          <w:rFonts w:ascii="Times New Roman" w:hAnsi="Times New Roman"/>
          <w:sz w:val="28"/>
          <w:szCs w:val="28"/>
          <w:lang w:eastAsia="ru-RU"/>
        </w:rPr>
        <w:t>Разработанный способ ЭАИФТ</w:t>
      </w:r>
      <w:r w:rsidRPr="006C69B9">
        <w:rPr>
          <w:rFonts w:ascii="Times New Roman" w:hAnsi="Times New Roman"/>
          <w:sz w:val="28"/>
          <w:szCs w:val="28"/>
        </w:rPr>
        <w:t>, на 5-7 сутки после операции, способствовал снижению содержания продуктов ПОЛ, в том числе МДА на 28-30%, улучшал состояние антиокислительной системы, путем повышения активности СОД на 39,9% в сравнении с нормой, и на 55-60% в сравнении с исходными данными, повышением активности каталазы до 305,3 ± 10,68 МЕ/л.</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z w:val="28"/>
          <w:szCs w:val="28"/>
        </w:rPr>
        <w:tab/>
        <w:t>Способ культив</w:t>
      </w:r>
      <w:r w:rsidR="007F7BEB" w:rsidRPr="006C69B9">
        <w:rPr>
          <w:rFonts w:ascii="Times New Roman" w:hAnsi="Times New Roman"/>
          <w:sz w:val="28"/>
          <w:szCs w:val="28"/>
        </w:rPr>
        <w:t>ирования</w:t>
      </w:r>
      <w:r w:rsidRPr="006C69B9">
        <w:rPr>
          <w:rFonts w:ascii="Times New Roman" w:hAnsi="Times New Roman"/>
          <w:sz w:val="28"/>
          <w:szCs w:val="28"/>
        </w:rPr>
        <w:t xml:space="preserve"> лейкоцитарной массы с антибиотиком и циклофероном, обеспечивает не только выраженный антибактериальный эффект препарата, но и высокое иммуномодулирующее действие, благодаря наличию индуктора интерферона (циклоферона), о чем свидетельствует увеличение абсолютного числа Т-лимфоцитов до 51,17</w:t>
      </w:r>
      <w:r w:rsidRPr="006C69B9">
        <w:rPr>
          <w:rFonts w:ascii="Times New Roman" w:hAnsi="Times New Roman"/>
          <w:color w:val="000000"/>
          <w:sz w:val="28"/>
          <w:szCs w:val="28"/>
          <w:u w:val="single" w:color="000000"/>
        </w:rPr>
        <w:t>+</w:t>
      </w:r>
      <w:r w:rsidRPr="006C69B9">
        <w:rPr>
          <w:rFonts w:ascii="Times New Roman" w:hAnsi="Times New Roman"/>
          <w:sz w:val="28"/>
          <w:szCs w:val="28"/>
        </w:rPr>
        <w:t>2,01х10</w:t>
      </w:r>
      <w:r w:rsidRPr="006C69B9">
        <w:rPr>
          <w:rFonts w:ascii="Times New Roman" w:hAnsi="Times New Roman"/>
          <w:sz w:val="28"/>
          <w:szCs w:val="28"/>
          <w:vertAlign w:val="superscript"/>
        </w:rPr>
        <w:t>9</w:t>
      </w:r>
      <w:r w:rsidRPr="006C69B9">
        <w:rPr>
          <w:rFonts w:ascii="Times New Roman" w:hAnsi="Times New Roman"/>
          <w:sz w:val="28"/>
          <w:szCs w:val="28"/>
        </w:rPr>
        <w:t>/л., В-лимфоцитов до 17,65</w:t>
      </w:r>
      <w:r w:rsidRPr="006C69B9">
        <w:rPr>
          <w:rFonts w:ascii="Times New Roman" w:hAnsi="Times New Roman"/>
          <w:sz w:val="28"/>
          <w:szCs w:val="28"/>
          <w:u w:val="words"/>
        </w:rPr>
        <w:t>+</w:t>
      </w:r>
      <w:r w:rsidRPr="006C69B9">
        <w:rPr>
          <w:rFonts w:ascii="Times New Roman" w:hAnsi="Times New Roman"/>
          <w:sz w:val="28"/>
          <w:szCs w:val="28"/>
        </w:rPr>
        <w:t>1,52х10</w:t>
      </w:r>
      <w:r w:rsidRPr="006C69B9">
        <w:rPr>
          <w:rFonts w:ascii="Times New Roman" w:hAnsi="Times New Roman"/>
          <w:sz w:val="28"/>
          <w:szCs w:val="28"/>
          <w:vertAlign w:val="superscript"/>
        </w:rPr>
        <w:t>9</w:t>
      </w:r>
      <w:r w:rsidRPr="006C69B9">
        <w:rPr>
          <w:rFonts w:ascii="Times New Roman" w:hAnsi="Times New Roman"/>
          <w:sz w:val="28"/>
          <w:szCs w:val="28"/>
        </w:rPr>
        <w:t>/л., усиление Д-фагоцитоза до 52,48</w:t>
      </w:r>
      <w:r w:rsidRPr="006C69B9">
        <w:rPr>
          <w:rFonts w:ascii="Times New Roman" w:hAnsi="Times New Roman"/>
          <w:sz w:val="28"/>
          <w:szCs w:val="28"/>
          <w:u w:val="words"/>
        </w:rPr>
        <w:t>+</w:t>
      </w:r>
      <w:r w:rsidRPr="006C69B9">
        <w:rPr>
          <w:rFonts w:ascii="Times New Roman" w:hAnsi="Times New Roman"/>
          <w:sz w:val="28"/>
          <w:szCs w:val="28"/>
        </w:rPr>
        <w:t>0,05х10</w:t>
      </w:r>
      <w:r w:rsidRPr="006C69B9">
        <w:rPr>
          <w:rFonts w:ascii="Times New Roman" w:hAnsi="Times New Roman"/>
          <w:sz w:val="28"/>
          <w:szCs w:val="28"/>
          <w:vertAlign w:val="superscript"/>
        </w:rPr>
        <w:t>9</w:t>
      </w:r>
      <w:r w:rsidRPr="006C69B9">
        <w:rPr>
          <w:rFonts w:ascii="Times New Roman" w:hAnsi="Times New Roman"/>
          <w:sz w:val="28"/>
          <w:szCs w:val="28"/>
        </w:rPr>
        <w:t>/л., снижение фракций иммуноглобулина от 22,35</w:t>
      </w:r>
      <w:r w:rsidRPr="006C69B9">
        <w:rPr>
          <w:rFonts w:ascii="Times New Roman" w:hAnsi="Times New Roman"/>
          <w:sz w:val="28"/>
          <w:szCs w:val="28"/>
          <w:u w:val="words"/>
        </w:rPr>
        <w:t>+</w:t>
      </w:r>
      <w:r w:rsidRPr="006C69B9">
        <w:rPr>
          <w:rFonts w:ascii="Times New Roman" w:hAnsi="Times New Roman"/>
          <w:sz w:val="28"/>
          <w:szCs w:val="28"/>
        </w:rPr>
        <w:t xml:space="preserve"> 1,45 до 21,17</w:t>
      </w:r>
      <w:r w:rsidRPr="006C69B9">
        <w:rPr>
          <w:rFonts w:ascii="Times New Roman" w:hAnsi="Times New Roman"/>
          <w:sz w:val="28"/>
          <w:szCs w:val="28"/>
          <w:u w:val="words"/>
        </w:rPr>
        <w:t>+</w:t>
      </w:r>
      <w:r w:rsidRPr="006C69B9">
        <w:rPr>
          <w:rFonts w:ascii="Times New Roman" w:hAnsi="Times New Roman"/>
          <w:sz w:val="28"/>
          <w:szCs w:val="28"/>
        </w:rPr>
        <w:t>1,37,  на фоне проводимого лечения.</w:t>
      </w:r>
    </w:p>
    <w:p w:rsidR="00CE0C76" w:rsidRPr="006C69B9" w:rsidRDefault="00CE0C76" w:rsidP="006C69B9">
      <w:pPr>
        <w:spacing w:after="0" w:line="240" w:lineRule="auto"/>
        <w:jc w:val="both"/>
        <w:rPr>
          <w:rFonts w:ascii="Times New Roman" w:hAnsi="Times New Roman"/>
          <w:sz w:val="28"/>
          <w:szCs w:val="28"/>
        </w:rPr>
      </w:pPr>
      <w:r w:rsidRPr="006C69B9">
        <w:rPr>
          <w:rFonts w:ascii="Times New Roman" w:hAnsi="Times New Roman"/>
          <w:spacing w:val="-13"/>
          <w:sz w:val="28"/>
          <w:szCs w:val="28"/>
        </w:rPr>
        <w:tab/>
        <w:t>Таким образом, использование инкубации лейкоцитарной массы с антибиотиками в лечении пациентов с абдоминальной инфекцией и его осложнениями, позволило снизить курсовую дозу антибиотиков в 4 - 6 раз, при этом</w:t>
      </w:r>
      <w:r w:rsidRPr="006C69B9">
        <w:rPr>
          <w:rFonts w:ascii="Times New Roman" w:hAnsi="Times New Roman"/>
          <w:sz w:val="28"/>
          <w:szCs w:val="28"/>
          <w:lang w:eastAsia="ru-RU"/>
        </w:rPr>
        <w:t xml:space="preserve"> повысив эффективность комплексной терапии, сократив продолжительность лечения и уменьшить количество послеоперационных осложнений, что </w:t>
      </w:r>
      <w:r w:rsidRPr="006C69B9">
        <w:rPr>
          <w:rFonts w:ascii="Times New Roman" w:hAnsi="Times New Roman"/>
          <w:sz w:val="28"/>
          <w:szCs w:val="28"/>
        </w:rPr>
        <w:t>улучшило результаты хирургического лечения в 1,8 раза.</w:t>
      </w:r>
    </w:p>
    <w:p w:rsidR="00CE0C76" w:rsidRPr="006C69B9" w:rsidRDefault="00CE0C76" w:rsidP="006C69B9">
      <w:pPr>
        <w:spacing w:before="20" w:after="20" w:line="240" w:lineRule="auto"/>
        <w:ind w:right="425"/>
        <w:rPr>
          <w:rFonts w:ascii="Times New Roman" w:hAnsi="Times New Roman"/>
          <w:sz w:val="28"/>
          <w:szCs w:val="28"/>
        </w:rPr>
      </w:pPr>
    </w:p>
    <w:p w:rsidR="00CE0C76" w:rsidRPr="006C69B9" w:rsidRDefault="00CE0C76" w:rsidP="006C69B9">
      <w:pPr>
        <w:spacing w:after="0" w:line="240" w:lineRule="auto"/>
        <w:ind w:firstLine="545"/>
        <w:jc w:val="center"/>
        <w:rPr>
          <w:rFonts w:ascii="Times New Roman" w:hAnsi="Times New Roman"/>
          <w:b/>
          <w:sz w:val="28"/>
          <w:szCs w:val="28"/>
        </w:rPr>
      </w:pPr>
      <w:r w:rsidRPr="006C69B9">
        <w:rPr>
          <w:rFonts w:ascii="Times New Roman" w:hAnsi="Times New Roman"/>
          <w:b/>
          <w:sz w:val="28"/>
          <w:szCs w:val="28"/>
        </w:rPr>
        <w:t>Литература</w:t>
      </w:r>
    </w:p>
    <w:p w:rsidR="00CE0C76" w:rsidRPr="006C69B9" w:rsidRDefault="00CE0C76" w:rsidP="006C69B9">
      <w:pPr>
        <w:spacing w:after="0" w:line="240" w:lineRule="auto"/>
        <w:jc w:val="both"/>
        <w:rPr>
          <w:rFonts w:ascii="Times New Roman" w:hAnsi="Times New Roman"/>
          <w:color w:val="000000"/>
          <w:sz w:val="28"/>
          <w:szCs w:val="28"/>
        </w:rPr>
      </w:pPr>
      <w:r w:rsidRPr="006C69B9">
        <w:rPr>
          <w:rFonts w:ascii="Times New Roman" w:hAnsi="Times New Roman"/>
          <w:color w:val="000000"/>
          <w:sz w:val="28"/>
          <w:szCs w:val="28"/>
        </w:rPr>
        <w:t>1. Савельев В.С. /Абдоминальная хирургическая инфекция: клиника, диагностика, антимикробная терапия.//Литтера. 2006. 168 с.</w:t>
      </w:r>
    </w:p>
    <w:p w:rsidR="00CE0C76" w:rsidRPr="006C69B9" w:rsidRDefault="00CE0C76" w:rsidP="006C69B9">
      <w:pPr>
        <w:spacing w:after="0" w:line="240" w:lineRule="auto"/>
        <w:ind w:firstLine="360"/>
        <w:jc w:val="both"/>
        <w:rPr>
          <w:rFonts w:ascii="Times New Roman" w:hAnsi="Times New Roman"/>
          <w:bCs/>
          <w:color w:val="000000"/>
          <w:kern w:val="36"/>
          <w:sz w:val="28"/>
          <w:szCs w:val="28"/>
        </w:rPr>
      </w:pPr>
      <w:r w:rsidRPr="006C69B9">
        <w:rPr>
          <w:rFonts w:ascii="Times New Roman" w:hAnsi="Times New Roman"/>
          <w:color w:val="000000"/>
          <w:sz w:val="28"/>
          <w:szCs w:val="28"/>
        </w:rPr>
        <w:t>2.</w:t>
      </w:r>
      <w:r w:rsidRPr="006C69B9">
        <w:rPr>
          <w:rFonts w:ascii="Times New Roman" w:hAnsi="Times New Roman"/>
          <w:bCs/>
          <w:iCs/>
          <w:color w:val="000000"/>
          <w:sz w:val="28"/>
          <w:szCs w:val="28"/>
        </w:rPr>
        <w:t xml:space="preserve"> Костюченко К.В., Рыбачков В.В., Ярушкин А.К., Петров О.И., Смирнов О.С.</w:t>
      </w:r>
      <w:r w:rsidRPr="006C69B9">
        <w:rPr>
          <w:rFonts w:ascii="Times New Roman" w:hAnsi="Times New Roman"/>
          <w:bCs/>
          <w:color w:val="000000"/>
          <w:kern w:val="36"/>
          <w:sz w:val="28"/>
          <w:szCs w:val="28"/>
        </w:rPr>
        <w:t xml:space="preserve"> /Значение прогностической ценности критериев полиорганной дисфункции для определения хирургической тактики лечения распространённого перитонита //С</w:t>
      </w:r>
      <w:r w:rsidRPr="006C69B9">
        <w:rPr>
          <w:rFonts w:ascii="Times New Roman" w:hAnsi="Times New Roman"/>
          <w:iCs/>
          <w:color w:val="000000"/>
          <w:sz w:val="28"/>
          <w:szCs w:val="28"/>
        </w:rPr>
        <w:t>борн. тезисов IX Съезда Всероссийской федерации анестезиологов и реаниматологов. Сентябрь. 2004 год. Иркутск.</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3. Илюкевич Г.В. Абдоминальный сепсис: новый взгляд на нестареющую проблему // Медицинские новости.- 2001.- № 9.- С.35-41.</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 xml:space="preserve">4. Гельфанд Б.Р., Гологорский В.А., Бурневич С.З., Гельфанд Е.Б Антибактериальная терапия хирургической абдоминальной инфекции и абдоминального сепсиса. // </w:t>
      </w:r>
      <w:r w:rsidRPr="006C69B9">
        <w:rPr>
          <w:rFonts w:ascii="Times New Roman" w:hAnsi="Times New Roman"/>
          <w:color w:val="000000"/>
          <w:sz w:val="28"/>
          <w:szCs w:val="28"/>
          <w:lang w:val="en-US"/>
        </w:rPr>
        <w:t>Consilium</w:t>
      </w:r>
      <w:r w:rsidRPr="006C69B9">
        <w:rPr>
          <w:rFonts w:ascii="Times New Roman" w:hAnsi="Times New Roman"/>
          <w:color w:val="000000"/>
          <w:sz w:val="28"/>
          <w:szCs w:val="28"/>
        </w:rPr>
        <w:t xml:space="preserve"> </w:t>
      </w:r>
      <w:r w:rsidRPr="006C69B9">
        <w:rPr>
          <w:rFonts w:ascii="Times New Roman" w:hAnsi="Times New Roman"/>
          <w:color w:val="000000"/>
          <w:sz w:val="28"/>
          <w:szCs w:val="28"/>
          <w:lang w:val="en-US"/>
        </w:rPr>
        <w:t>medicum</w:t>
      </w:r>
      <w:r w:rsidRPr="006C69B9">
        <w:rPr>
          <w:rFonts w:ascii="Times New Roman" w:hAnsi="Times New Roman"/>
          <w:color w:val="000000"/>
          <w:sz w:val="28"/>
          <w:szCs w:val="28"/>
        </w:rPr>
        <w:t>. 2000. Том 2. №9. с.374-379</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lastRenderedPageBreak/>
        <w:t>5. Бельских А.Н., Потапчук В.Б., Лукин В.В., Плоцкий А.Н. "Фармакокинетика антибактериальных препаратов при проведении сорбционно-аферезных операций экстракорпоральной детоксикации". Ж. Эфферентиная терапия, Т 9, № 1, 2003 г, стр 59 - 59</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6. Косинец А.Н., Андрейченко В.В. Перитонит – абдоминальный сепсис //Новости хирургии.- 2001.- Том. 12.№ 2.- С.3-8.</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7. Гельфанд Б.Р., Филимонов М.И., Бурневич С.З. Абдоминальный сепсис // Русский медицинский журнал.- 1999.- № 5/7.- С.6.</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8. Григорьев Е.Г., Коган А.С. Хирургия тяжелых гнойных процессов. –Новосибирск: Наука, 2000.- 314 с.</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9. Ушкалова Е.А. Выбор карбопенемовых и гликопептидных антибиотиков для фармакологических списков лекарственных средств // Антибиот. и химиотер.- 2001.- Том.46.№ 3.- С.37-41.</w:t>
      </w:r>
    </w:p>
    <w:p w:rsidR="00CE0C76" w:rsidRPr="006C69B9" w:rsidRDefault="00CE0C76" w:rsidP="006C69B9">
      <w:pPr>
        <w:pStyle w:val="a3"/>
        <w:spacing w:before="0" w:beforeAutospacing="0" w:after="0" w:afterAutospacing="0"/>
        <w:ind w:firstLine="708"/>
        <w:jc w:val="both"/>
        <w:rPr>
          <w:color w:val="000000"/>
          <w:sz w:val="28"/>
          <w:szCs w:val="28"/>
        </w:rPr>
      </w:pPr>
      <w:r w:rsidRPr="006C69B9">
        <w:rPr>
          <w:color w:val="000000"/>
          <w:sz w:val="28"/>
          <w:szCs w:val="28"/>
        </w:rPr>
        <w:t>10. Антибиотикотерапия абдоминальной хирургической инфекции / Б.Р. Гельфанд, В.А. Гологорский, С.З. Бурневич и др.; Под ред. В.С. Савельева. –М., 2000.- 144 с.</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sz w:val="28"/>
          <w:szCs w:val="28"/>
        </w:rPr>
        <w:t xml:space="preserve">11. </w:t>
      </w:r>
      <w:r w:rsidRPr="006C69B9">
        <w:rPr>
          <w:rFonts w:ascii="Times New Roman" w:hAnsi="Times New Roman"/>
          <w:color w:val="000000"/>
          <w:sz w:val="28"/>
          <w:szCs w:val="28"/>
        </w:rPr>
        <w:t>Бельских А.Н., Потапчук В.Б., Лукин В.В., Плоцкий А.Н., Соколов А.А., Стрельникова О.Ю. "Применение экстракорпоральной антибактериальной фармакотерапии у больных с хирургической инфекцией". Ж. Эфферентиная терапия, Т 9, № 1, 2003 г, стр 55 - 56</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12. Генинг Т.П., Колкер И.И., Жумадилов Ж.Ш. Использование форменных элементов крови для направленной доставки химиотерапевтических и диагностических препаратов в очаг поражения // Антибиотики и химиотерапия. - 1988.- № 11.- С.867-871.</w:t>
      </w:r>
    </w:p>
    <w:p w:rsidR="00CE0C76" w:rsidRPr="006C69B9" w:rsidRDefault="00CE0C76" w:rsidP="006C69B9">
      <w:pPr>
        <w:autoSpaceDE w:val="0"/>
        <w:autoSpaceDN w:val="0"/>
        <w:adjustRightInd w:val="0"/>
        <w:spacing w:after="0" w:line="240" w:lineRule="auto"/>
        <w:ind w:firstLine="360"/>
        <w:jc w:val="both"/>
        <w:rPr>
          <w:rFonts w:ascii="Times New Roman" w:hAnsi="Times New Roman"/>
          <w:bCs/>
          <w:sz w:val="28"/>
          <w:szCs w:val="28"/>
        </w:rPr>
      </w:pPr>
      <w:r w:rsidRPr="006C69B9">
        <w:rPr>
          <w:rFonts w:ascii="Times New Roman" w:hAnsi="Times New Roman"/>
          <w:sz w:val="28"/>
          <w:szCs w:val="28"/>
        </w:rPr>
        <w:t>13.</w:t>
      </w:r>
      <w:r w:rsidRPr="006C69B9">
        <w:rPr>
          <w:rFonts w:ascii="Times New Roman" w:hAnsi="Times New Roman"/>
          <w:iCs/>
          <w:sz w:val="28"/>
          <w:szCs w:val="28"/>
        </w:rPr>
        <w:t xml:space="preserve"> </w:t>
      </w:r>
      <w:r w:rsidRPr="006C69B9">
        <w:rPr>
          <w:rFonts w:ascii="Times New Roman" w:hAnsi="Times New Roman"/>
          <w:sz w:val="28"/>
          <w:szCs w:val="28"/>
        </w:rPr>
        <w:t xml:space="preserve">Н.Д.Ушакова Н.Д., В.В Мороз В.В., М.И.Коган М.И. </w:t>
      </w:r>
      <w:r w:rsidRPr="006C69B9">
        <w:rPr>
          <w:rFonts w:ascii="Times New Roman" w:hAnsi="Times New Roman"/>
          <w:bCs/>
          <w:sz w:val="28"/>
          <w:szCs w:val="28"/>
        </w:rPr>
        <w:t xml:space="preserve">Экстракорпоральная  иммунофармакотерапия циклофероном эндотоксикоза при гнойно-воспалительных урологических заболеваниях// </w:t>
      </w:r>
      <w:r w:rsidRPr="006C69B9">
        <w:rPr>
          <w:rFonts w:ascii="Times New Roman" w:hAnsi="Times New Roman"/>
          <w:iCs/>
          <w:sz w:val="28"/>
          <w:szCs w:val="28"/>
        </w:rPr>
        <w:t>Вестник интенсивной терапии, 2004 г, №1.</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14. Лохвицкий С.В., Ержанова Ш.А., Балаболкин М.И., Сарафанова И.М. Направленный транспорт антибиотиков при лечении больных диабетической гнойной остеоартропатией // Сахарный диабет. - 1999. - № 3 (4). - С.35-41.</w:t>
      </w:r>
    </w:p>
    <w:p w:rsidR="00CE0C76" w:rsidRPr="006C69B9" w:rsidRDefault="00CE0C76" w:rsidP="006C69B9">
      <w:pPr>
        <w:spacing w:after="0" w:line="240" w:lineRule="auto"/>
        <w:ind w:firstLine="360"/>
        <w:jc w:val="both"/>
        <w:rPr>
          <w:rFonts w:ascii="Times New Roman" w:hAnsi="Times New Roman"/>
          <w:color w:val="000000"/>
          <w:sz w:val="28"/>
          <w:szCs w:val="28"/>
        </w:rPr>
      </w:pPr>
      <w:r w:rsidRPr="006C69B9">
        <w:rPr>
          <w:rFonts w:ascii="Times New Roman" w:hAnsi="Times New Roman"/>
          <w:color w:val="000000"/>
          <w:sz w:val="28"/>
          <w:szCs w:val="28"/>
        </w:rPr>
        <w:t>15. Генинг Т.П., Мануйлов К.К. Фармакокинетика антибиотика, вводимого в организм в клеточных носителях // Антибиотики и химиотерапия. - 1991. - № 9. - С.19-20</w:t>
      </w:r>
    </w:p>
    <w:p w:rsidR="00CE0C76" w:rsidRPr="006C69B9" w:rsidRDefault="00CE0C76" w:rsidP="006C69B9">
      <w:pPr>
        <w:spacing w:after="0" w:line="240" w:lineRule="auto"/>
        <w:ind w:firstLine="360"/>
        <w:jc w:val="both"/>
        <w:rPr>
          <w:rFonts w:ascii="Times New Roman" w:hAnsi="Times New Roman"/>
          <w:sz w:val="28"/>
          <w:szCs w:val="28"/>
          <w:lang w:val="en-US"/>
        </w:rPr>
      </w:pPr>
      <w:r w:rsidRPr="006C69B9">
        <w:rPr>
          <w:rFonts w:ascii="Times New Roman" w:hAnsi="Times New Roman"/>
          <w:color w:val="000000"/>
          <w:sz w:val="28"/>
          <w:szCs w:val="28"/>
        </w:rPr>
        <w:t>16.</w:t>
      </w:r>
      <w:r w:rsidRPr="006C69B9">
        <w:rPr>
          <w:rFonts w:ascii="Times New Roman" w:hAnsi="Times New Roman"/>
          <w:i/>
          <w:iCs/>
          <w:color w:val="000000"/>
          <w:sz w:val="28"/>
          <w:szCs w:val="28"/>
          <w:lang w:eastAsia="ja-JP"/>
        </w:rPr>
        <w:t xml:space="preserve"> </w:t>
      </w:r>
      <w:r w:rsidRPr="006C69B9">
        <w:rPr>
          <w:rFonts w:ascii="Times New Roman" w:hAnsi="Times New Roman"/>
          <w:color w:val="000000"/>
          <w:sz w:val="28"/>
          <w:szCs w:val="28"/>
        </w:rPr>
        <w:t>Карпушина И.А., Стеблева Т.Ф., Бонитенко Е.Ю. /Применение методики направленного транспорта лекарственных веществ в клинической практике (Обзор литературы)// Российский биомедицинский журнал. Т</w:t>
      </w:r>
      <w:r w:rsidRPr="006C69B9">
        <w:rPr>
          <w:rFonts w:ascii="Times New Roman" w:hAnsi="Times New Roman"/>
          <w:color w:val="000000"/>
          <w:sz w:val="28"/>
          <w:szCs w:val="28"/>
          <w:lang w:val="en-US"/>
        </w:rPr>
        <w:t xml:space="preserve">. 5, </w:t>
      </w:r>
      <w:r w:rsidRPr="006C69B9">
        <w:rPr>
          <w:rFonts w:ascii="Times New Roman" w:hAnsi="Times New Roman"/>
          <w:color w:val="000000"/>
          <w:sz w:val="28"/>
          <w:szCs w:val="28"/>
        </w:rPr>
        <w:t>С</w:t>
      </w:r>
      <w:r w:rsidRPr="006C69B9">
        <w:rPr>
          <w:rFonts w:ascii="Times New Roman" w:hAnsi="Times New Roman"/>
          <w:color w:val="000000"/>
          <w:sz w:val="28"/>
          <w:szCs w:val="28"/>
          <w:lang w:val="en-US"/>
        </w:rPr>
        <w:t xml:space="preserve">. 404-408 </w:t>
      </w:r>
      <w:r w:rsidRPr="006C69B9">
        <w:rPr>
          <w:rFonts w:ascii="Times New Roman" w:hAnsi="Times New Roman"/>
          <w:color w:val="000000"/>
          <w:sz w:val="28"/>
          <w:szCs w:val="28"/>
        </w:rPr>
        <w:t>декабрь</w:t>
      </w:r>
      <w:r w:rsidRPr="006C69B9">
        <w:rPr>
          <w:rFonts w:ascii="Times New Roman" w:hAnsi="Times New Roman"/>
          <w:color w:val="000000"/>
          <w:sz w:val="28"/>
          <w:szCs w:val="28"/>
          <w:lang w:val="en-US"/>
        </w:rPr>
        <w:t xml:space="preserve"> 2004</w:t>
      </w:r>
      <w:r w:rsidRPr="006C69B9">
        <w:rPr>
          <w:rFonts w:ascii="Times New Roman" w:hAnsi="Times New Roman"/>
          <w:color w:val="000000"/>
          <w:sz w:val="28"/>
          <w:szCs w:val="28"/>
        </w:rPr>
        <w:t>г</w:t>
      </w:r>
    </w:p>
    <w:sectPr w:rsidR="00CE0C76" w:rsidRPr="006C69B9" w:rsidSect="006C69B9">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D8" w:rsidRDefault="007715D8" w:rsidP="002E5358">
      <w:pPr>
        <w:spacing w:after="0" w:line="240" w:lineRule="auto"/>
      </w:pPr>
      <w:r>
        <w:separator/>
      </w:r>
    </w:p>
  </w:endnote>
  <w:endnote w:type="continuationSeparator" w:id="1">
    <w:p w:rsidR="007715D8" w:rsidRDefault="007715D8" w:rsidP="002E5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07" w:rsidRDefault="00F53752">
    <w:pPr>
      <w:pStyle w:val="a4"/>
      <w:jc w:val="center"/>
    </w:pPr>
    <w:r>
      <w:fldChar w:fldCharType="begin"/>
    </w:r>
    <w:r w:rsidR="007F7BEB">
      <w:instrText xml:space="preserve"> PAGE   \* MERGEFORMAT </w:instrText>
    </w:r>
    <w:r>
      <w:fldChar w:fldCharType="separate"/>
    </w:r>
    <w:r w:rsidR="006C69B9">
      <w:rPr>
        <w:noProof/>
      </w:rPr>
      <w:t>1</w:t>
    </w:r>
    <w:r>
      <w:fldChar w:fldCharType="end"/>
    </w:r>
  </w:p>
  <w:p w:rsidR="00EC4907" w:rsidRDefault="007715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D8" w:rsidRDefault="007715D8" w:rsidP="002E5358">
      <w:pPr>
        <w:spacing w:after="0" w:line="240" w:lineRule="auto"/>
      </w:pPr>
      <w:r>
        <w:separator/>
      </w:r>
    </w:p>
  </w:footnote>
  <w:footnote w:type="continuationSeparator" w:id="1">
    <w:p w:rsidR="007715D8" w:rsidRDefault="007715D8" w:rsidP="002E5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C76"/>
    <w:rsid w:val="002E5358"/>
    <w:rsid w:val="00425165"/>
    <w:rsid w:val="006C69B9"/>
    <w:rsid w:val="007715D8"/>
    <w:rsid w:val="007F7BEB"/>
    <w:rsid w:val="00A14DDF"/>
    <w:rsid w:val="00A158CA"/>
    <w:rsid w:val="00BB3671"/>
    <w:rsid w:val="00CE0C76"/>
    <w:rsid w:val="00F53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76"/>
    <w:rPr>
      <w:rFonts w:ascii="Calibri" w:eastAsia="Calibri" w:hAnsi="Calibri" w:cs="Times New Roman"/>
    </w:rPr>
  </w:style>
  <w:style w:type="paragraph" w:styleId="7">
    <w:name w:val="heading 7"/>
    <w:basedOn w:val="a"/>
    <w:next w:val="a"/>
    <w:link w:val="70"/>
    <w:qFormat/>
    <w:rsid w:val="00CE0C76"/>
    <w:pPr>
      <w:spacing w:before="240" w:after="60" w:line="240" w:lineRule="auto"/>
      <w:outlineLvl w:val="6"/>
    </w:pPr>
    <w:rPr>
      <w:rFonts w:ascii="Times New Roman" w:eastAsia="Times New Roman" w:hAnsi="Times New Roman"/>
      <w:sz w:val="24"/>
      <w:szCs w:val="24"/>
      <w:lang w:eastAsia="ru-RU"/>
    </w:rPr>
  </w:style>
  <w:style w:type="paragraph" w:styleId="9">
    <w:name w:val="heading 9"/>
    <w:basedOn w:val="a"/>
    <w:next w:val="a"/>
    <w:link w:val="90"/>
    <w:qFormat/>
    <w:rsid w:val="00CE0C7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E0C7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E0C76"/>
    <w:rPr>
      <w:rFonts w:ascii="Arial" w:eastAsia="Times New Roman" w:hAnsi="Arial" w:cs="Arial"/>
      <w:lang w:eastAsia="ru-RU"/>
    </w:rPr>
  </w:style>
  <w:style w:type="paragraph" w:styleId="a3">
    <w:name w:val="Normal (Web)"/>
    <w:basedOn w:val="a"/>
    <w:unhideWhenUsed/>
    <w:rsid w:val="00CE0C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l">
    <w:name w:val="mail"/>
    <w:basedOn w:val="a"/>
    <w:rsid w:val="00CE0C76"/>
    <w:pPr>
      <w:spacing w:before="100" w:beforeAutospacing="1" w:after="100" w:afterAutospacing="1" w:line="240" w:lineRule="auto"/>
      <w:ind w:left="100" w:right="100"/>
      <w:jc w:val="both"/>
    </w:pPr>
    <w:rPr>
      <w:rFonts w:ascii="Verdana" w:eastAsia="Times New Roman" w:hAnsi="Verdana"/>
      <w:color w:val="29166F"/>
      <w:sz w:val="16"/>
      <w:szCs w:val="16"/>
      <w:lang w:eastAsia="ru-RU"/>
    </w:rPr>
  </w:style>
  <w:style w:type="paragraph" w:styleId="a4">
    <w:name w:val="footer"/>
    <w:basedOn w:val="a"/>
    <w:link w:val="a5"/>
    <w:rsid w:val="00CE0C76"/>
    <w:pPr>
      <w:tabs>
        <w:tab w:val="center" w:pos="4677"/>
        <w:tab w:val="right" w:pos="9355"/>
      </w:tabs>
    </w:pPr>
  </w:style>
  <w:style w:type="character" w:customStyle="1" w:styleId="a5">
    <w:name w:val="Нижний колонтитул Знак"/>
    <w:basedOn w:val="a0"/>
    <w:link w:val="a4"/>
    <w:rsid w:val="00CE0C7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cp:lastPrinted>2011-06-08T11:42:00Z</cp:lastPrinted>
  <dcterms:created xsi:type="dcterms:W3CDTF">2011-06-02T04:25:00Z</dcterms:created>
  <dcterms:modified xsi:type="dcterms:W3CDTF">2011-11-17T07:22:00Z</dcterms:modified>
</cp:coreProperties>
</file>