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4D" w:rsidRPr="00830B94" w:rsidRDefault="00B6104D" w:rsidP="00B6104D">
      <w:pPr>
        <w:ind w:right="-6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30B94">
        <w:rPr>
          <w:rFonts w:ascii="Times New Roman" w:hAnsi="Times New Roman" w:cs="Times New Roman"/>
          <w:b/>
          <w:bCs/>
          <w:smallCaps/>
          <w:sz w:val="24"/>
          <w:szCs w:val="24"/>
        </w:rPr>
        <w:t>СТРУКТУРНАЯ ХАРАКТЕРИСТИКА РЯДА ПАРАМЕТРОВ СОЕДИНИТЕЛЬНОЙ ТКАНИ В УСЛОВИЯХ АНГИОСТИМУЛЯЦИИ РЕГЕНЕРАТОРНОГО ПРОЦЕССА В ВОЗРАСТНОМ АСПЕКТЕ</w:t>
      </w:r>
    </w:p>
    <w:p w:rsidR="00B6104D" w:rsidRPr="00830B94" w:rsidRDefault="00B6104D" w:rsidP="00B6104D">
      <w:pPr>
        <w:pStyle w:val="2"/>
        <w:ind w:right="-284"/>
        <w:rPr>
          <w:b/>
          <w:sz w:val="24"/>
        </w:rPr>
      </w:pPr>
      <w:r w:rsidRPr="00830B94">
        <w:rPr>
          <w:b/>
          <w:sz w:val="24"/>
        </w:rPr>
        <w:t xml:space="preserve">Войтенко А.В., </w:t>
      </w:r>
      <w:proofErr w:type="spellStart"/>
      <w:r w:rsidRPr="00830B94">
        <w:rPr>
          <w:b/>
          <w:sz w:val="24"/>
        </w:rPr>
        <w:t>Габитов</w:t>
      </w:r>
      <w:proofErr w:type="spellEnd"/>
      <w:r w:rsidRPr="00830B94">
        <w:rPr>
          <w:b/>
          <w:sz w:val="24"/>
        </w:rPr>
        <w:t xml:space="preserve"> В.Х, Головнев В.А., </w:t>
      </w:r>
      <w:proofErr w:type="spellStart"/>
      <w:r w:rsidRPr="00830B94">
        <w:rPr>
          <w:b/>
          <w:sz w:val="24"/>
        </w:rPr>
        <w:t>Лобзова</w:t>
      </w:r>
      <w:proofErr w:type="spellEnd"/>
      <w:r w:rsidRPr="00830B94">
        <w:rPr>
          <w:b/>
          <w:sz w:val="24"/>
        </w:rPr>
        <w:t xml:space="preserve"> В.В.</w:t>
      </w:r>
    </w:p>
    <w:p w:rsidR="00B6104D" w:rsidRPr="00830B94" w:rsidRDefault="00B6104D" w:rsidP="00B6104D">
      <w:pPr>
        <w:rPr>
          <w:rFonts w:ascii="Times New Roman" w:hAnsi="Times New Roman" w:cs="Times New Roman"/>
          <w:sz w:val="24"/>
          <w:szCs w:val="24"/>
        </w:rPr>
      </w:pPr>
    </w:p>
    <w:p w:rsidR="00B6104D" w:rsidRPr="00830B94" w:rsidRDefault="00B6104D" w:rsidP="00B6104D">
      <w:pPr>
        <w:pStyle w:val="21"/>
        <w:spacing w:line="240" w:lineRule="auto"/>
        <w:jc w:val="both"/>
        <w:rPr>
          <w:b/>
        </w:rPr>
      </w:pPr>
      <w:r w:rsidRPr="00830B94">
        <w:rPr>
          <w:b/>
        </w:rPr>
        <w:t xml:space="preserve">Научный Центр реконструктивно-восстановительной хирургии МЗ КР Бишкек, Кыргызстан; кафедра анатомии человека, топографической анатомии и оперативной хирургии </w:t>
      </w:r>
      <w:proofErr w:type="spellStart"/>
      <w:r w:rsidRPr="00830B94">
        <w:rPr>
          <w:b/>
        </w:rPr>
        <w:t>Кыргызско-Российского</w:t>
      </w:r>
      <w:proofErr w:type="spellEnd"/>
      <w:r w:rsidRPr="00830B94">
        <w:rPr>
          <w:b/>
        </w:rPr>
        <w:t xml:space="preserve"> Славянского университета, Бишкек; кафедра оперативной хирургии и топографической анатомии Новосибирского государственного медицинского университета, Новосибирск, Россия; </w:t>
      </w:r>
    </w:p>
    <w:p w:rsidR="00B6104D" w:rsidRPr="00830B94" w:rsidRDefault="00B6104D" w:rsidP="00B6104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>.</w:t>
      </w:r>
      <w:r w:rsidRPr="00830B94">
        <w:rPr>
          <w:rFonts w:ascii="Times New Roman" w:hAnsi="Times New Roman" w:cs="Times New Roman"/>
          <w:sz w:val="24"/>
          <w:szCs w:val="24"/>
        </w:rPr>
        <w:tab/>
        <w:t xml:space="preserve">Рыхлая соединительная ткань в организме млекопитающих является наиболее распространенной разновидностью соединительных тканей, она в большем или меньшем количестве сопровождает все кровеносные и лимфатические сосуды. </w:t>
      </w:r>
      <w:r w:rsidRPr="00830B94">
        <w:rPr>
          <w:rFonts w:ascii="Times New Roman" w:eastAsia="Arial Unicode MS" w:hAnsi="Times New Roman" w:cs="Times New Roman"/>
          <w:sz w:val="24"/>
          <w:szCs w:val="24"/>
        </w:rPr>
        <w:t xml:space="preserve">Пересадки </w:t>
      </w:r>
      <w:proofErr w:type="spellStart"/>
      <w:r w:rsidRPr="00830B94">
        <w:rPr>
          <w:rFonts w:ascii="Times New Roman" w:eastAsia="Arial Unicode MS" w:hAnsi="Times New Roman" w:cs="Times New Roman"/>
          <w:sz w:val="24"/>
          <w:szCs w:val="24"/>
        </w:rPr>
        <w:t>васкуляризированных</w:t>
      </w:r>
      <w:proofErr w:type="spellEnd"/>
      <w:r w:rsidRPr="00830B94">
        <w:rPr>
          <w:rFonts w:ascii="Times New Roman" w:eastAsia="Arial Unicode MS" w:hAnsi="Times New Roman" w:cs="Times New Roman"/>
          <w:sz w:val="24"/>
          <w:szCs w:val="24"/>
        </w:rPr>
        <w:t xml:space="preserve"> комплексов тканей на сосудистой ножке или с </w:t>
      </w:r>
      <w:proofErr w:type="spellStart"/>
      <w:r w:rsidRPr="00830B94">
        <w:rPr>
          <w:rFonts w:ascii="Times New Roman" w:eastAsia="Arial Unicode MS" w:hAnsi="Times New Roman" w:cs="Times New Roman"/>
          <w:sz w:val="24"/>
          <w:szCs w:val="24"/>
        </w:rPr>
        <w:t>микроанастомозами</w:t>
      </w:r>
      <w:proofErr w:type="spellEnd"/>
      <w:r w:rsidRPr="00830B94">
        <w:rPr>
          <w:rFonts w:ascii="Times New Roman" w:eastAsia="Arial Unicode MS" w:hAnsi="Times New Roman" w:cs="Times New Roman"/>
          <w:sz w:val="24"/>
          <w:szCs w:val="24"/>
        </w:rPr>
        <w:t xml:space="preserve"> сосудов значительно расширили возможности пластической и реконструктивной хирургии [5].</w:t>
      </w:r>
      <w:r w:rsidRPr="00830B9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Как бы ни протекала регенерация тканей, она всегда сопряжена с физиологическими факторами местного и общего значения, регулирующими этот процесс [4] и в числе этих факторов наибольшее значение имеет состояние кровообращения 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. В последнее время сформировалось новое научное направление "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терапевтический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ангиогенез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", в котором используются клонированные гены факторов роста кровеносных сосудов. Известно, что именно интерстициальное пространство является основной ареной транспортных потоков, обеспечивающих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эндоэкологию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региона [3]. Однако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возрастой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аспект этой проблемы пока остается без внимания исследователей.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b/>
          <w:sz w:val="24"/>
          <w:szCs w:val="24"/>
        </w:rPr>
        <w:t>Целью</w:t>
      </w:r>
      <w:r w:rsidRPr="00830B94">
        <w:rPr>
          <w:rFonts w:ascii="Times New Roman" w:hAnsi="Times New Roman" w:cs="Times New Roman"/>
          <w:sz w:val="24"/>
          <w:szCs w:val="24"/>
        </w:rPr>
        <w:t xml:space="preserve"> настоящего исследования было экспериментальное изучение возможности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ангиостимулирующих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технологий для ускорения регенераторного процесса в обширных асептических хирургических ранах в возрастном аспекте.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r w:rsidRPr="00830B94">
        <w:rPr>
          <w:rFonts w:ascii="Times New Roman" w:hAnsi="Times New Roman" w:cs="Times New Roman"/>
          <w:sz w:val="24"/>
          <w:szCs w:val="24"/>
        </w:rPr>
        <w:t>В работе использовано 180 лабораторных крысах обоего пола. Все манипуляции на животных проводили под эфирным наркозом.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>Животные содержались в клетках при температуре 18-22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sym w:font="Symbol" w:char="F0B0"/>
      </w:r>
      <w:r w:rsidRPr="0083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и 24-х часовом световом режиме (12 часов - свет, 12 часов - темнота). Крысы получали </w:t>
      </w:r>
      <w:r w:rsidRPr="00830B94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  <w:lang w:val="en-US"/>
        </w:rPr>
        <w:t>libitum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сбалансированный по белкам и углеводам витаминизированный стандартный кормовой рацион. Доступ к воде и пище был свободным.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Материалом для исследования послужили мягкие ткани в норме и после создания модели обширной асептической раны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межфасциального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пространства в области спины путем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тунельного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отсепаровывания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кожи с подкожной жировой клетчаткой и поверхностной фасции от прилежащих мягких тканей площадью до 12 см</w:t>
      </w:r>
      <w:proofErr w:type="gramStart"/>
      <w:r w:rsidRPr="00830B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, в последующем рана ушивалась только по краю разреза кожи, моделируя тем самым вариант аутопластики. В первой группе опытов, состоящей из трех возрастных подгрупп, (контроль) происходило спонтанное приживление вдоль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отсепарованного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межфасциального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пространства. Во второй группе (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), также состоящих из трех возрастных подгрупп, перед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ушиванием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обширной </w:t>
      </w:r>
      <w:r w:rsidRPr="00830B94">
        <w:rPr>
          <w:rFonts w:ascii="Times New Roman" w:hAnsi="Times New Roman" w:cs="Times New Roman"/>
          <w:sz w:val="24"/>
          <w:szCs w:val="24"/>
        </w:rPr>
        <w:lastRenderedPageBreak/>
        <w:t xml:space="preserve">хирургической раны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межфасциальное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пространство обрабатывалось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фармагеном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рекомбинантный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ангиогенин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>Оценка состояния процессов заживления раны и эффективности лечения проводилась до 45 суток.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С целью оценки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репаративного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процесса и для объективного  контроля  за  процессами заживления ран, мягкие ткани области обширной хирургической раны (модель аутопластики) исследовались общепринятыми </w:t>
      </w:r>
      <w:proofErr w:type="spellStart"/>
      <w:proofErr w:type="gramStart"/>
      <w:r w:rsidRPr="00830B94">
        <w:rPr>
          <w:rFonts w:ascii="Times New Roman" w:hAnsi="Times New Roman" w:cs="Times New Roman"/>
          <w:sz w:val="24"/>
          <w:szCs w:val="24"/>
        </w:rPr>
        <w:t>макро-микроскопическими</w:t>
      </w:r>
      <w:proofErr w:type="spellEnd"/>
      <w:proofErr w:type="gramEnd"/>
      <w:r w:rsidRPr="00830B94">
        <w:rPr>
          <w:rFonts w:ascii="Times New Roman" w:hAnsi="Times New Roman" w:cs="Times New Roman"/>
          <w:sz w:val="24"/>
          <w:szCs w:val="24"/>
        </w:rPr>
        <w:t>, гистологическими и морфометрическими методами.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0B94">
        <w:rPr>
          <w:rFonts w:ascii="Times New Roman" w:eastAsia="MS Mincho" w:hAnsi="Times New Roman" w:cs="Times New Roman"/>
          <w:sz w:val="24"/>
          <w:szCs w:val="24"/>
        </w:rPr>
        <w:t>Морфометрия тканевых структур проводилась при помощи окуля</w:t>
      </w:r>
      <w:proofErr w:type="gramStart"/>
      <w:r w:rsidRPr="00830B94">
        <w:rPr>
          <w:rFonts w:ascii="Times New Roman" w:eastAsia="MS Mincho" w:hAnsi="Times New Roman" w:cs="Times New Roman"/>
          <w:sz w:val="24"/>
          <w:szCs w:val="24"/>
        </w:rPr>
        <w:t>р-</w:t>
      </w:r>
      <w:proofErr w:type="gramEnd"/>
      <w:r w:rsidRPr="00830B94">
        <w:rPr>
          <w:rFonts w:ascii="Times New Roman" w:eastAsia="MS Mincho" w:hAnsi="Times New Roman" w:cs="Times New Roman"/>
          <w:sz w:val="24"/>
          <w:szCs w:val="24"/>
        </w:rPr>
        <w:t xml:space="preserve"> микрометра МОВ-1-15х на светооптических микроскопах "Люмам-I-2", МБИ-15 и МБС-10 в соответствии с общепринятыми требованиями [1,7].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>Характеристика морфофункционального состояния прилежащих мягких тканей складывалась из суммарной оценки признаков, наблюдаемых при визуальном изучении гистологических препаратов и количественных методов исследования.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b/>
          <w:sz w:val="24"/>
          <w:szCs w:val="24"/>
        </w:rPr>
        <w:t>Результаты исследований.</w:t>
      </w:r>
      <w:r w:rsidRPr="00830B94">
        <w:rPr>
          <w:rFonts w:ascii="Times New Roman" w:hAnsi="Times New Roman" w:cs="Times New Roman"/>
          <w:sz w:val="24"/>
          <w:szCs w:val="24"/>
        </w:rPr>
        <w:t xml:space="preserve"> При инъекции кровеносного русла отмечено, что в процессе спонтанного заживления в зоне механического повреждения межмышечного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фасциального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пространства на 7-й день функционирующие сосуды еще отсутствуют,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как после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у молодых животных они начинают появляться уже через 24 часа </w:t>
      </w:r>
      <w:r w:rsidRPr="00830B94">
        <w:rPr>
          <w:rFonts w:ascii="Times New Roman" w:hAnsi="Times New Roman" w:cs="Times New Roman"/>
          <w:b/>
          <w:bCs/>
          <w:sz w:val="24"/>
          <w:szCs w:val="24"/>
        </w:rPr>
        <w:t>(табл. 1),</w:t>
      </w:r>
      <w:r w:rsidRPr="00830B94">
        <w:rPr>
          <w:rFonts w:ascii="Times New Roman" w:hAnsi="Times New Roman" w:cs="Times New Roman"/>
          <w:sz w:val="24"/>
          <w:szCs w:val="24"/>
        </w:rPr>
        <w:t xml:space="preserve"> а к третьему дню хорошо видна формирующаяся сосудистая сеть.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уже на первые сутки наблюдения в межмышечном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межфасциальном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пространстве выявлялось большое количество тучных клеток.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Морфометрический анализ показал, что у молодых животных при спонтанном заживлении и применении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сравнительная морфологическая характеристика регенераторного процесса межмышечных клетчаточных пространств однонаправленная, но с существенным клеточным различием.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Как показали результаты проведенного исследования, применение  биостимулирующего геля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способствует раннему стиханию воспаления,  более раннему развитию грануляционной ткани и полному заживлению ран в 1,5 раза быстрее,  чем при спонтанном их заживлении.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Это проявляется в увеличении пролиферативной активности фибробластов, ускоряется посттравматическое развитие лейкоцитарной 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макрофагической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реакции, а также формирование грануляционной ткани. Начиная с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З-х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суток, объем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волокон в опыте превышает таковой в контроле. На 7-е сутки наблюдения отмечается лучший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гистоархитектурный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порядок,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васкуляризация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и отсутствие клеток воспаления на уровне прилежащих мышц. Это приводит к ускорению новообразования грануляционной ткани и, в первую очередь,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микрососудов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, а также образованию регенерата по морфологии приближающегося к нормальной картине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межфасциального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футляра.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При изучении  цитологической  картины  во второй и третьей фазах раневого процесса в группах половозрелых животных, которым  проводилось лечение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фармагеном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, </w:t>
      </w:r>
      <w:r w:rsidRPr="00830B94">
        <w:rPr>
          <w:rFonts w:ascii="Times New Roman" w:hAnsi="Times New Roman" w:cs="Times New Roman"/>
          <w:sz w:val="24"/>
          <w:szCs w:val="24"/>
        </w:rPr>
        <w:lastRenderedPageBreak/>
        <w:t xml:space="preserve">отмечено более раннее  появление 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 волокон, начиная  с 7-х суток.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В центре раны просматривалась продольная ориентация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пучков, чем регенерат напоминал рубец. Воспалительная инфильтрация несколько снизилась по сравнению  с аналогичной возрастной группой без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(табл. 1).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К 14-м суткам у половозрелых крыс отмечалась выраженная пролиферация фибробластов и формирование сосудистой сети. После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значительно быстрее, чем при спонтанном заживлении формируется и рубцовая ткань.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B94">
        <w:rPr>
          <w:rFonts w:ascii="Times New Roman" w:hAnsi="Times New Roman" w:cs="Times New Roman"/>
          <w:sz w:val="24"/>
          <w:szCs w:val="24"/>
        </w:rPr>
        <w:t xml:space="preserve">Как показали результаты проведенного исследования, применение 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у половозрелых животных, также как и у молодых, способствует раннему стиханию воспаления,  более раннему развитию грануляционной ткани и полному заживлению ран в 1,5 раза быстрее,  чем при спонтанном их заживлении, что проявляется максимальным эффектом его биостимулирующих свойств направленных на стимуляцию раннего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ангиогенеза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в регенерирующих поврежденных тканях.</w:t>
      </w:r>
      <w:proofErr w:type="gramEnd"/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b/>
          <w:bCs/>
          <w:sz w:val="24"/>
          <w:szCs w:val="24"/>
        </w:rPr>
        <w:t>У пожилых животных</w:t>
      </w:r>
      <w:r w:rsidRPr="00830B94">
        <w:rPr>
          <w:rFonts w:ascii="Times New Roman" w:hAnsi="Times New Roman" w:cs="Times New Roman"/>
          <w:sz w:val="24"/>
          <w:szCs w:val="24"/>
        </w:rPr>
        <w:t xml:space="preserve"> через 24 часа после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гистологическая картина обширной хирургической раны представляла собой клеточный детрит и лейкоцитарную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инфильтрацию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по интенсивности приближающуюся к группе без лечения. Проведенные нами экспериментальные исследования показали, что на первые сутки после моделирования асептической хирургической раны отмечалась примерно однотипная морфологическая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как при спонтанном заживлении, так и с использованием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при применении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уже на первые сутки наблюдения в межмышечном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фасциальном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пространстве выявлялось большое количество тучных клеток. При этом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применение  биостимулирующего геля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рекомбинантного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ангиогенина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) у пожилых животных не способствует раннему стиханию воспаления, а заживление раны в динамике происходит только в 1,1 раза быстрее,  чем без лечения.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При инъекции кровеносного русла отмечено, что в процессе спонтанного заживления в зоне механического повреждения межмышечного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фасциального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пространства на 7-й день функционирующие сосуды еще отсутствуют. Тогда как после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они начинают появляться на 3-и, 7-е сутки. При этом даже по истечении 3-х недель выявлялись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внесосудистые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эритроциты.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стимулировало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плазмоцитарную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тучноклеточную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фибробластическую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реакции, но в значительно меньшей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чем у молодых и половозрелых животных (табл. 1).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Морфометрический анализ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цитограмм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у пожилых животных показал, что при спонтанном заживлении и применении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сравнительная морфологическая характеристика регенераторного процесса межмышечных клетчаточных пространств однонаправленная, но с количественным клеточным различием, которая выражается в том, что в ранние сроки наблюдения, при спонтанном заживлении в зоне раны увеличивалось только количество нейтрофилов и макрофагов. Однако регенерация значительно не ускорялась.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Таким образом, применение 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ангиостимулирующих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технологий только у молодых </w:t>
      </w:r>
      <w:r w:rsidRPr="00830B94">
        <w:rPr>
          <w:rFonts w:ascii="Times New Roman" w:hAnsi="Times New Roman" w:cs="Times New Roman"/>
          <w:sz w:val="24"/>
          <w:szCs w:val="24"/>
        </w:rPr>
        <w:lastRenderedPageBreak/>
        <w:t>сокращает период рубцевания ран почти на неделю и способствует раннему стиханию воспаления.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Следовательно, внедрение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интраоперационного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ангиостимуляторов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в  клиническую практику  поможет оптимизировать результаты лечения больных в пластической хирургии и косметологии только в том случае, если будет учитываться возраст пациента.</w:t>
      </w:r>
    </w:p>
    <w:p w:rsidR="00B6104D" w:rsidRPr="00830B94" w:rsidRDefault="00B6104D" w:rsidP="00B6104D">
      <w:pPr>
        <w:widowControl w:val="0"/>
        <w:snapToGrid w:val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Следует также отметить, что наши данные по применению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ангиогенина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вполне согласуются с результатами [2] при закрытии остаточных полостей в хирургии печени и [6] при пластике паховых грыж. </w:t>
      </w:r>
    </w:p>
    <w:p w:rsidR="00B6104D" w:rsidRPr="00830B94" w:rsidRDefault="00B6104D" w:rsidP="00B6104D">
      <w:pPr>
        <w:overflowPunct w:val="0"/>
        <w:autoSpaceDE w:val="0"/>
        <w:autoSpaceDN w:val="0"/>
        <w:adjustRightInd w:val="0"/>
        <w:ind w:right="-28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9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Автандилов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Г.Г. Основы количественной патологической анатомии: Учебное пособие для слушателей последипломного образования /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Г.Г.Автандилов.-М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.: Медицина, 2002.- 238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>.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Акрамов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Э.Х.,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Кулбачаев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Б.К. Возможности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ангиогенина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для закрытия остаточных полостей в хирургии печени </w:t>
      </w:r>
      <w:r w:rsidRPr="00830B94">
        <w:rPr>
          <w:rFonts w:ascii="Times New Roman" w:hAnsi="Times New Roman" w:cs="Times New Roman"/>
          <w:bCs/>
          <w:sz w:val="24"/>
          <w:szCs w:val="24"/>
        </w:rPr>
        <w:t xml:space="preserve">// Хирургия, морфология, </w:t>
      </w:r>
      <w:proofErr w:type="spellStart"/>
      <w:r w:rsidRPr="00830B94">
        <w:rPr>
          <w:rFonts w:ascii="Times New Roman" w:hAnsi="Times New Roman" w:cs="Times New Roman"/>
          <w:bCs/>
          <w:sz w:val="24"/>
          <w:szCs w:val="24"/>
        </w:rPr>
        <w:t>лимфология</w:t>
      </w:r>
      <w:proofErr w:type="spellEnd"/>
      <w:r w:rsidRPr="00830B94">
        <w:rPr>
          <w:rFonts w:ascii="Times New Roman" w:hAnsi="Times New Roman" w:cs="Times New Roman"/>
          <w:bCs/>
          <w:sz w:val="24"/>
          <w:szCs w:val="24"/>
        </w:rPr>
        <w:t>.- 2004.- том 1.- № 2.- С. 24-27.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Бородин Ю.И. Регионарный лимфатический дренаж и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лимфодетоксикация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// Морфология, 2005.- т.128.- № 4.- С.25-28.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И.В. Общая патология человека.- М.: Медицина, 1969.- 611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>.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Домиников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Микролимфогемоциркуляция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васкуляризированных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комплексов тканей в разные сроки после их трансплантации //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. Канд. мед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 xml:space="preserve">аук.- Новосибирск, 2000.- 192 </w:t>
      </w:r>
      <w:proofErr w:type="gramStart"/>
      <w:r w:rsidRPr="0083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B94">
        <w:rPr>
          <w:rFonts w:ascii="Times New Roman" w:hAnsi="Times New Roman" w:cs="Times New Roman"/>
          <w:sz w:val="24"/>
          <w:szCs w:val="24"/>
        </w:rPr>
        <w:t>.</w:t>
      </w:r>
    </w:p>
    <w:p w:rsidR="00B6104D" w:rsidRPr="00830B94" w:rsidRDefault="00B6104D" w:rsidP="00B6104D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bCs/>
          <w:sz w:val="24"/>
          <w:szCs w:val="24"/>
        </w:rPr>
        <w:t>Камчибеков</w:t>
      </w:r>
      <w:proofErr w:type="spellEnd"/>
      <w:r w:rsidRPr="00830B94">
        <w:rPr>
          <w:rFonts w:ascii="Times New Roman" w:hAnsi="Times New Roman" w:cs="Times New Roman"/>
          <w:bCs/>
          <w:sz w:val="24"/>
          <w:szCs w:val="24"/>
        </w:rPr>
        <w:t xml:space="preserve"> Ш.Т. Возможности применения </w:t>
      </w:r>
      <w:proofErr w:type="spellStart"/>
      <w:r w:rsidRPr="00830B94">
        <w:rPr>
          <w:rFonts w:ascii="Times New Roman" w:hAnsi="Times New Roman" w:cs="Times New Roman"/>
          <w:bCs/>
          <w:sz w:val="24"/>
          <w:szCs w:val="24"/>
        </w:rPr>
        <w:t>ангиогенина</w:t>
      </w:r>
      <w:proofErr w:type="spellEnd"/>
      <w:r w:rsidRPr="00830B94">
        <w:rPr>
          <w:rFonts w:ascii="Times New Roman" w:hAnsi="Times New Roman" w:cs="Times New Roman"/>
          <w:bCs/>
          <w:sz w:val="24"/>
          <w:szCs w:val="24"/>
        </w:rPr>
        <w:t xml:space="preserve"> при пластике паховых грыж // </w:t>
      </w:r>
      <w:proofErr w:type="spellStart"/>
      <w:r w:rsidRPr="00830B94">
        <w:rPr>
          <w:rFonts w:ascii="Times New Roman" w:hAnsi="Times New Roman" w:cs="Times New Roman"/>
          <w:bCs/>
          <w:sz w:val="24"/>
          <w:szCs w:val="24"/>
        </w:rPr>
        <w:t>Автореф</w:t>
      </w:r>
      <w:proofErr w:type="spellEnd"/>
      <w:r w:rsidRPr="00830B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30B94">
        <w:rPr>
          <w:rFonts w:ascii="Times New Roman" w:hAnsi="Times New Roman" w:cs="Times New Roman"/>
          <w:bCs/>
          <w:sz w:val="24"/>
          <w:szCs w:val="24"/>
        </w:rPr>
        <w:t>дисс</w:t>
      </w:r>
      <w:proofErr w:type="spellEnd"/>
      <w:r w:rsidRPr="00830B94">
        <w:rPr>
          <w:rFonts w:ascii="Times New Roman" w:hAnsi="Times New Roman" w:cs="Times New Roman"/>
          <w:bCs/>
          <w:sz w:val="24"/>
          <w:szCs w:val="24"/>
        </w:rPr>
        <w:t>. канд. мед</w:t>
      </w:r>
      <w:proofErr w:type="gramStart"/>
      <w:r w:rsidRPr="00830B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30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0B9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830B94">
        <w:rPr>
          <w:rFonts w:ascii="Times New Roman" w:hAnsi="Times New Roman" w:cs="Times New Roman"/>
          <w:bCs/>
          <w:sz w:val="24"/>
          <w:szCs w:val="24"/>
        </w:rPr>
        <w:t xml:space="preserve">аук.- Новосибирск, 2005.- 21 </w:t>
      </w:r>
      <w:proofErr w:type="gramStart"/>
      <w:r w:rsidRPr="00830B9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30B94">
        <w:rPr>
          <w:rFonts w:ascii="Times New Roman" w:hAnsi="Times New Roman" w:cs="Times New Roman"/>
          <w:bCs/>
          <w:sz w:val="24"/>
          <w:szCs w:val="24"/>
        </w:rPr>
        <w:t>.</w:t>
      </w:r>
    </w:p>
    <w:p w:rsidR="00B6104D" w:rsidRPr="00830B94" w:rsidRDefault="00B6104D" w:rsidP="00B6104D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Катинас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Г. С., Полонский Ю. З. К методике анализа количественных показателей в цитологии // Цитология. – 1970. – Т. 12. – </w:t>
      </w:r>
      <w:r w:rsidRPr="00830B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30B94">
        <w:rPr>
          <w:rFonts w:ascii="Times New Roman" w:hAnsi="Times New Roman" w:cs="Times New Roman"/>
          <w:sz w:val="24"/>
          <w:szCs w:val="24"/>
        </w:rPr>
        <w:t xml:space="preserve"> 3. –С. 399-403.</w:t>
      </w:r>
    </w:p>
    <w:p w:rsidR="00B6104D" w:rsidRPr="00830B94" w:rsidRDefault="00B6104D" w:rsidP="00B6104D">
      <w:pPr>
        <w:overflowPunct w:val="0"/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6104D" w:rsidRPr="00830B94" w:rsidRDefault="00B6104D" w:rsidP="00B6104D">
      <w:pPr>
        <w:pStyle w:val="a3"/>
        <w:ind w:right="-6" w:firstLine="567"/>
      </w:pPr>
      <w:r w:rsidRPr="00830B94">
        <w:tab/>
      </w:r>
      <w:r w:rsidRPr="00830B94">
        <w:tab/>
        <w:t>Таблица 1</w:t>
      </w:r>
    </w:p>
    <w:p w:rsidR="00B6104D" w:rsidRPr="00830B94" w:rsidRDefault="00B6104D" w:rsidP="00B6104D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4">
        <w:rPr>
          <w:rFonts w:ascii="Times New Roman" w:hAnsi="Times New Roman" w:cs="Times New Roman"/>
          <w:sz w:val="24"/>
          <w:szCs w:val="24"/>
        </w:rPr>
        <w:t xml:space="preserve">Динамика структуры соединительной ткани молодых (А), половозрелых (Б), пожилых (В) крыс после моделирования обширной хирургической раны и применения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фармагена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M±m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 xml:space="preserve">. число в </w:t>
      </w:r>
      <w:proofErr w:type="spellStart"/>
      <w:r w:rsidRPr="00830B94">
        <w:rPr>
          <w:rFonts w:ascii="Times New Roman" w:hAnsi="Times New Roman" w:cs="Times New Roman"/>
          <w:sz w:val="24"/>
          <w:szCs w:val="24"/>
        </w:rPr>
        <w:t>станд</w:t>
      </w:r>
      <w:proofErr w:type="spellEnd"/>
      <w:r w:rsidRPr="00830B94">
        <w:rPr>
          <w:rFonts w:ascii="Times New Roman" w:hAnsi="Times New Roman" w:cs="Times New Roman"/>
          <w:sz w:val="24"/>
          <w:szCs w:val="24"/>
        </w:rPr>
        <w:t>. поле зрения)</w:t>
      </w:r>
    </w:p>
    <w:p w:rsidR="00B6104D" w:rsidRPr="00830B94" w:rsidRDefault="00B6104D" w:rsidP="00B610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571"/>
        <w:gridCol w:w="1648"/>
        <w:gridCol w:w="1592"/>
        <w:gridCol w:w="1648"/>
        <w:gridCol w:w="1592"/>
        <w:gridCol w:w="1512"/>
      </w:tblGrid>
      <w:tr w:rsidR="00B6104D" w:rsidRPr="00830B94" w:rsidTr="00293E46">
        <w:trPr>
          <w:cantSplit/>
        </w:trPr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1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5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Сроки наблюдения в сутках</w:t>
            </w:r>
          </w:p>
        </w:tc>
      </w:tr>
      <w:tr w:rsidR="00B6104D" w:rsidRPr="00830B94" w:rsidTr="00293E46">
        <w:trPr>
          <w:cantSplit/>
        </w:trPr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интерстиция</w:t>
            </w:r>
            <w:proofErr w:type="spellEnd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gramEnd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proofErr w:type="spellStart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 10³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409±22*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293±15*+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284±11*+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251±10*+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227±8+  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313±19*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220±14*+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192±11+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181±11+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174±10+  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189±15*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201±16*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55±5*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97±10*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151±14*  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proofErr w:type="gramStart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крове-</w:t>
            </w:r>
            <w:r w:rsidRPr="0083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носного</w:t>
            </w:r>
            <w:proofErr w:type="spellEnd"/>
            <w:proofErr w:type="gramEnd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 русла в мкм³х106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0,08±0,01*+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0,4±0,03*+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0,97±0,05*+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2,43±0,1*+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2,32±0,2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0,37*+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0,77±0,03*+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1,76±0,1+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1,95±0,1+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0,08±0,01*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0,37±0,01*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0,69±0,03*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1,42±0,06*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830B9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клеточность</w:t>
            </w:r>
            <w:proofErr w:type="spellEnd"/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892±53*+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1006±85*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990±67*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800±52*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500±31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1064±41*+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1070±80*+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1010±80*+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840±72*+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540±54+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849±51*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1368±94*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1374±123*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1046±132*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725±79*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Фибробласты 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281±18*+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412±27*+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407±25*+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257±19*+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187±14+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197±12*+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394±23*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450±31*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390±28*+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200±22*+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162±10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301±20*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581±32*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572±32*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369±29*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Макрофаги 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 50±4*+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82±10*+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81±9*+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55±6*+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24±3+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45±3*+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57±6*+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58±5*+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49±5*+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37±3*+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16±2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102±9*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131±10*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108±8*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72±5*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Тучные клетки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54±2*+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68±5*+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72±5*+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47±6*+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19±4*+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33±2*+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46±5*+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50±4*+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27±2*+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17±2*+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8±1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18±2*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30±2*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36±3*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14±1*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Внесосудистые</w:t>
            </w:r>
            <w:proofErr w:type="spellEnd"/>
            <w:r w:rsidRPr="00830B94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эритроциты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138±13*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129±8*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50±2*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8±1*+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0*+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180±10*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107±8*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48±4*+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25±2*+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6±2*+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118±10*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287±30*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390±35*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187±20*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44±5*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43±3*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69±6*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81±8*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72±8*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53±5*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41±2*+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74±7*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74±7*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63±6*+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24±2*+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24±2*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52±5*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114±10*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111±10*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74±7*</w:t>
            </w:r>
          </w:p>
        </w:tc>
      </w:tr>
      <w:tr w:rsidR="00B6104D" w:rsidRPr="00830B94" w:rsidTr="00293E46">
        <w:tc>
          <w:tcPr>
            <w:tcW w:w="2057" w:type="dxa"/>
            <w:vMerge w:val="restart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Полиморфно-ядерные лейкоциты</w:t>
            </w: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139±14*+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140±14*+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82±7*+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16±1*+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8±1+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189±13*+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133±10*+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93±8*+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60±2*+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42±1*+</w:t>
            </w:r>
          </w:p>
        </w:tc>
      </w:tr>
      <w:tr w:rsidR="00B6104D" w:rsidRPr="00830B94" w:rsidTr="00293E46">
        <w:tc>
          <w:tcPr>
            <w:tcW w:w="2057" w:type="dxa"/>
            <w:vMerge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226±3*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238±4*</w:t>
            </w:r>
          </w:p>
        </w:tc>
        <w:tc>
          <w:tcPr>
            <w:tcW w:w="1648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141±4*</w:t>
            </w:r>
          </w:p>
        </w:tc>
        <w:tc>
          <w:tcPr>
            <w:tcW w:w="159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29±3*</w:t>
            </w:r>
          </w:p>
        </w:tc>
        <w:tc>
          <w:tcPr>
            <w:tcW w:w="1512" w:type="dxa"/>
          </w:tcPr>
          <w:p w:rsidR="00B6104D" w:rsidRPr="00830B94" w:rsidRDefault="00B6104D" w:rsidP="0029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B94">
              <w:rPr>
                <w:rFonts w:ascii="Times New Roman" w:hAnsi="Times New Roman" w:cs="Times New Roman"/>
                <w:sz w:val="24"/>
                <w:szCs w:val="24"/>
              </w:rPr>
              <w:t>15±2*</w:t>
            </w:r>
          </w:p>
        </w:tc>
      </w:tr>
    </w:tbl>
    <w:p w:rsidR="00370570" w:rsidRPr="00830B94" w:rsidRDefault="00370570">
      <w:pPr>
        <w:rPr>
          <w:rFonts w:ascii="Times New Roman" w:hAnsi="Times New Roman" w:cs="Times New Roman"/>
          <w:sz w:val="24"/>
          <w:szCs w:val="24"/>
        </w:rPr>
      </w:pPr>
    </w:p>
    <w:sectPr w:rsidR="00370570" w:rsidRPr="00830B94" w:rsidSect="00830B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393"/>
    <w:multiLevelType w:val="hybridMultilevel"/>
    <w:tmpl w:val="33909AB0"/>
    <w:lvl w:ilvl="0" w:tplc="ED34A4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104D"/>
    <w:rsid w:val="00370570"/>
    <w:rsid w:val="004D73C7"/>
    <w:rsid w:val="00830B94"/>
    <w:rsid w:val="00B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7"/>
  </w:style>
  <w:style w:type="paragraph" w:styleId="2">
    <w:name w:val="heading 2"/>
    <w:basedOn w:val="a"/>
    <w:next w:val="a"/>
    <w:link w:val="20"/>
    <w:qFormat/>
    <w:rsid w:val="00B6104D"/>
    <w:pPr>
      <w:keepNext/>
      <w:tabs>
        <w:tab w:val="right" w:pos="830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04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B610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10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610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104D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rsid w:val="00B6104D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1741</Words>
  <Characters>9930</Characters>
  <Application>Microsoft Office Word</Application>
  <DocSecurity>0</DocSecurity>
  <Lines>82</Lines>
  <Paragraphs>23</Paragraphs>
  <ScaleCrop>false</ScaleCrop>
  <Company>Grizli777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</cp:revision>
  <dcterms:created xsi:type="dcterms:W3CDTF">2011-11-30T06:05:00Z</dcterms:created>
  <dcterms:modified xsi:type="dcterms:W3CDTF">2011-12-01T06:04:00Z</dcterms:modified>
</cp:coreProperties>
</file>