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6" w:rsidRDefault="00EB5BF1" w:rsidP="0028741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Rules for working in simulation classes</w:t>
      </w:r>
      <w:r w:rsidR="00287411" w:rsidRPr="00287411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91376"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(</w:t>
      </w:r>
      <w:r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for </w:t>
      </w:r>
      <w:r w:rsidR="00173228"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students</w:t>
      </w:r>
      <w:r w:rsidR="00991376"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:rsidR="00287411" w:rsidRPr="005B5B4D" w:rsidRDefault="00287411" w:rsidP="0028741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991376" w:rsidRPr="005B5B4D" w:rsidRDefault="00173228" w:rsidP="002874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Students </w:t>
      </w:r>
      <w:r w:rsidR="00892669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must abide by the following rules at the Simulation Center (here</w:t>
      </w:r>
      <w:r w:rsidR="003A7594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92669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 w:rsidR="003A7594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92669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after CS)</w:t>
      </w:r>
      <w:r w:rsidR="00991376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287411" w:rsidRDefault="0000047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To arrive</w:t>
      </w:r>
      <w:r w:rsidR="002C71FF" w:rsidRPr="005B5B4D">
        <w:rPr>
          <w:color w:val="000000" w:themeColor="text1"/>
          <w:lang w:val="en-US"/>
        </w:rPr>
        <w:t xml:space="preserve"> </w:t>
      </w:r>
      <w:r w:rsidR="002C71FF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at the place of training strictly in accordance with the schedule 10 minutes before the start.</w:t>
      </w:r>
    </w:p>
    <w:p w:rsidR="00991376" w:rsidRPr="005B5B4D" w:rsidRDefault="002C71FF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Students are allowed to train only with a dressing gown, re</w:t>
      </w:r>
      <w:r w:rsidR="00CC7F35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placeable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shoes (shoe covers), rubber gloves (if necessary </w:t>
      </w:r>
      <w:r w:rsidR="00AD5AB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–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gauze</w:t>
      </w:r>
      <w:r w:rsidR="00AD5AB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napkins</w:t>
      </w:r>
      <w:r w:rsidR="007611A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="007611AE">
        <w:rPr>
          <w:rFonts w:ascii="Times New Roman" w:hAnsi="Times New Roman"/>
          <w:color w:val="000000" w:themeColor="text1"/>
          <w:sz w:val="28"/>
          <w:szCs w:val="28"/>
          <w:lang w:val="en-US"/>
        </w:rPr>
        <w:t>phonendoscope</w:t>
      </w:r>
      <w:proofErr w:type="spellEnd"/>
      <w:r w:rsidR="007611AE">
        <w:rPr>
          <w:rFonts w:ascii="Times New Roman" w:hAnsi="Times New Roman"/>
          <w:color w:val="000000" w:themeColor="text1"/>
          <w:sz w:val="28"/>
          <w:szCs w:val="28"/>
          <w:lang w:val="en-US"/>
        </w:rPr>
        <w:t>, etc.)</w:t>
      </w:r>
    </w:p>
    <w:p w:rsidR="00991376" w:rsidRPr="005B5B4D" w:rsidRDefault="002C71FF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It is strictly forbidden to bring personal items into classes, including pens, pencils, markers, felt-tip pens. When working with</w:t>
      </w:r>
      <w:r w:rsidR="005127F9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dummies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, do not</w:t>
      </w:r>
      <w:r w:rsidR="007611A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use pens, pencils and markers.</w:t>
      </w:r>
    </w:p>
    <w:p w:rsidR="00991376" w:rsidRPr="005B5B4D" w:rsidRDefault="00332D2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Follow the rules of personal hygiene (including having a neat ma</w:t>
      </w:r>
      <w:r w:rsidR="00921F0A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ke-up, manicure and hairstyle).</w:t>
      </w:r>
      <w:r w:rsidR="0067370A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During </w:t>
      </w:r>
      <w:r w:rsidR="00BD7FE3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exploitation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BD7FE3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keep order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cleanliness and accuracy.</w:t>
      </w:r>
    </w:p>
    <w:p w:rsidR="00991376" w:rsidRPr="005B5B4D" w:rsidRDefault="00332D2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At the first visit to the </w:t>
      </w:r>
      <w:r w:rsidR="00E3460F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760264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, familiarize yourself with the Rules of work in the simulation classes (for students) and strictly observe.</w:t>
      </w:r>
    </w:p>
    <w:p w:rsidR="00991376" w:rsidRPr="005B5B4D" w:rsidRDefault="006E5D19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Each time, visiting the S</w:t>
      </w:r>
      <w:r w:rsidR="00760264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332D24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you must register in the Journal of visiting students. </w:t>
      </w:r>
    </w:p>
    <w:p w:rsidR="00991376" w:rsidRPr="005B5B4D" w:rsidRDefault="00332D2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The student is responsible for the safety and efficient use of the train</w:t>
      </w:r>
      <w:r w:rsidR="007611AE">
        <w:rPr>
          <w:rFonts w:ascii="Times New Roman" w:hAnsi="Times New Roman"/>
          <w:color w:val="000000" w:themeColor="text1"/>
          <w:sz w:val="28"/>
          <w:szCs w:val="28"/>
          <w:lang w:val="en-US"/>
        </w:rPr>
        <w:t>ing equipment entrusted to him.</w:t>
      </w:r>
    </w:p>
    <w:p w:rsidR="00332D24" w:rsidRPr="005B5B4D" w:rsidRDefault="00332D2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Leaving the classroom only with the permission of the teacher. </w:t>
      </w:r>
      <w:r w:rsidR="00F26DC8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Do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not allowed to leave the class and go to other classes on your own.</w:t>
      </w:r>
    </w:p>
    <w:p w:rsidR="00332D24" w:rsidRPr="005B5B4D" w:rsidRDefault="00332D24" w:rsidP="002874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Having performed the manipulation, bring the workplace to its original position.</w:t>
      </w:r>
    </w:p>
    <w:p w:rsidR="0016593D" w:rsidRPr="005B5B4D" w:rsidRDefault="00991376" w:rsidP="0028741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287411" w:rsidRPr="005B5B4D" w:rsidRDefault="00287411" w:rsidP="002874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Considered and approved at a meeting of the Simulation</w:t>
      </w:r>
      <w:r w:rsidR="00B90DD9" w:rsidRPr="00B90DD9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760264"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Center</w:t>
      </w:r>
      <w:r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, Protocol No. 2 of September 20, 2019.</w:t>
      </w:r>
    </w:p>
    <w:p w:rsidR="00287411" w:rsidRPr="005B5B4D" w:rsidRDefault="00287411" w:rsidP="002874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87411" w:rsidRPr="00287411" w:rsidRDefault="00287411" w:rsidP="00287411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 of the Simulation center,</w:t>
      </w:r>
    </w:p>
    <w:p w:rsidR="0011786B" w:rsidRPr="00287411" w:rsidRDefault="00287411" w:rsidP="002874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>doctor</w:t>
      </w:r>
      <w:proofErr w:type="gramEnd"/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of medical sciences</w:t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proofErr w:type="spellStart"/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>Talkimbayeva</w:t>
      </w:r>
      <w:proofErr w:type="spellEnd"/>
      <w:r w:rsidRPr="0028741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N.A.</w:t>
      </w:r>
    </w:p>
    <w:p w:rsidR="00DC54AF" w:rsidRPr="00287411" w:rsidRDefault="00DC54AF" w:rsidP="0028741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DC54AF" w:rsidRPr="00287411" w:rsidRDefault="00DC54AF" w:rsidP="0028741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287411" w:rsidRDefault="00287411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991376" w:rsidRPr="005B5B4D" w:rsidRDefault="00390F7D" w:rsidP="00822F1C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Rules for working with simulators</w:t>
      </w:r>
    </w:p>
    <w:p w:rsidR="00991376" w:rsidRPr="005B5B4D" w:rsidRDefault="00077B0D" w:rsidP="00547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To k</w:t>
      </w:r>
      <w:r w:rsidR="0054723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now the rules of asepsis and antiseptics, indications, contraindications to manipulations on the topic of the lesson, as well as the algorithm for their implementation.</w:t>
      </w:r>
    </w:p>
    <w:p w:rsidR="00991376" w:rsidRPr="005B5B4D" w:rsidRDefault="00547231" w:rsidP="00547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 is not allowed to work on mannequins or simulators without the </w:t>
      </w:r>
      <w:r w:rsidR="00BD038E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admission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of the teacher or </w:t>
      </w:r>
      <w:r w:rsidR="00BD038E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trainer</w:t>
      </w:r>
      <w:r w:rsidR="00695BA7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AD5C05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It should strictly follow the</w:t>
      </w:r>
      <w:r w:rsidR="00695BA7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instructions of teachers.</w:t>
      </w:r>
    </w:p>
    <w:p w:rsidR="00991376" w:rsidRPr="005B5B4D" w:rsidRDefault="00B42B89" w:rsidP="005472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To p</w:t>
      </w:r>
      <w:r w:rsidR="0054723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erform manipulations on the simulator in accordance with the algorithms for their implementation. Violations of the methodology can </w:t>
      </w:r>
      <w:r w:rsidR="00A172D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spoil </w:t>
      </w:r>
      <w:r w:rsidR="0054723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the simulator and in real life, improperly performed manipulations can cause pain and / or injury to the patient.</w:t>
      </w:r>
    </w:p>
    <w:p w:rsidR="00991376" w:rsidRPr="005B5B4D" w:rsidRDefault="009F3CB4" w:rsidP="00D65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To h</w:t>
      </w:r>
      <w:r w:rsidR="001D0DCE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andle the 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simulators </w:t>
      </w:r>
      <w:r w:rsidR="001D0DCE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carefully and</w:t>
      </w:r>
      <w:r w:rsidR="009A050A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gently.</w:t>
      </w:r>
      <w:r w:rsidR="008C532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To avoid breakage, do not apply </w:t>
      </w:r>
      <w:r w:rsidR="00830ED3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do not exert </w:t>
      </w:r>
      <w:r w:rsidR="008C5321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excessive </w:t>
      </w:r>
      <w:r w:rsidR="00830ED3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efforts</w:t>
      </w:r>
      <w:r w:rsidR="00AA6336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when practicing skills.</w:t>
      </w:r>
    </w:p>
    <w:p w:rsidR="00991376" w:rsidRPr="005B5B4D" w:rsidRDefault="0078241E" w:rsidP="00D65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Necessarily </w:t>
      </w:r>
      <w:r w:rsidR="00D65509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to use lubricants (petroleum jelly, silicone, etc.)</w:t>
      </w:r>
      <w:r w:rsidR="00EC1E4A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B26A95" w:rsidRPr="005B5B4D" w:rsidRDefault="00B26A95" w:rsidP="00B26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Do not allow water to enter simulators with electronic details.</w:t>
      </w:r>
    </w:p>
    <w:p w:rsidR="00F73BF8" w:rsidRPr="005B5B4D" w:rsidRDefault="00F73BF8" w:rsidP="00B26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In case of equipment breakdown or failure during operation, it is necessary to stop the training and inform the teacher and / or S</w:t>
      </w:r>
      <w:r w:rsidR="008211D5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employee. In case of equipment breakdown, </w:t>
      </w:r>
      <w:r w:rsidR="004C2BF6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“Property Damage Act” with name, surname and the cause of the breakdown.</w:t>
      </w:r>
    </w:p>
    <w:p w:rsidR="00991376" w:rsidRPr="005B5B4D" w:rsidRDefault="0021436B" w:rsidP="00822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 is </w:t>
      </w:r>
      <w:r w:rsidR="00DB6198"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forbidden to taste any reagents and consumables, drink, eat and smoke in the Training Center.</w:t>
      </w:r>
    </w:p>
    <w:p w:rsidR="00991376" w:rsidRPr="005B5B4D" w:rsidRDefault="00366219" w:rsidP="001217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color w:val="000000" w:themeColor="text1"/>
          <w:sz w:val="28"/>
          <w:szCs w:val="28"/>
          <w:lang w:val="en-US"/>
        </w:rPr>
        <w:t>All expendable disposable materials for educational purposes are used repeatedly, imitating compliance with the rules of asepsis and antiseptics.</w:t>
      </w:r>
    </w:p>
    <w:p w:rsidR="001217DF" w:rsidRPr="005B5B4D" w:rsidRDefault="001217DF" w:rsidP="00822F1C">
      <w:pPr>
        <w:spacing w:before="240" w:after="24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</w:p>
    <w:p w:rsidR="00DD2FB7" w:rsidRPr="005B5B4D" w:rsidRDefault="00884A4B" w:rsidP="00822F1C">
      <w:pPr>
        <w:spacing w:before="240" w:after="24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Considered and approved at a meeting of the Simulation</w:t>
      </w:r>
      <w:r w:rsidR="008211D5" w:rsidRPr="008211D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8211D5"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Center</w:t>
      </w:r>
      <w:r w:rsidRPr="005B5B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, Protocol No. 2 of September 20, 2019.</w:t>
      </w:r>
    </w:p>
    <w:p w:rsidR="00DD2FB7" w:rsidRPr="005B5B4D" w:rsidRDefault="00DD2FB7" w:rsidP="00822F1C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755F3D" w:rsidRPr="00287411" w:rsidRDefault="00755F3D" w:rsidP="004614FD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 of the Simulation center,</w:t>
      </w:r>
    </w:p>
    <w:p w:rsidR="00991376" w:rsidRPr="00287411" w:rsidRDefault="00755F3D" w:rsidP="004614FD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doctor</w:t>
      </w:r>
      <w:proofErr w:type="gramEnd"/>
      <w:r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</w:t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 medical sciences</w:t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spellStart"/>
      <w:r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Talkimba</w:t>
      </w:r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yeva</w:t>
      </w:r>
      <w:proofErr w:type="spellEnd"/>
      <w:r w:rsidR="00287411" w:rsidRPr="002874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N.A.</w:t>
      </w:r>
      <w:bookmarkStart w:id="0" w:name="_GoBack"/>
      <w:bookmarkEnd w:id="0"/>
    </w:p>
    <w:sectPr w:rsidR="00991376" w:rsidRPr="00287411" w:rsidSect="00AA75BF">
      <w:headerReference w:type="default" r:id="rId8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0C" w:rsidRDefault="00D34A0C" w:rsidP="009E6D3D">
      <w:pPr>
        <w:spacing w:after="0" w:line="240" w:lineRule="auto"/>
      </w:pPr>
      <w:r>
        <w:separator/>
      </w:r>
    </w:p>
  </w:endnote>
  <w:endnote w:type="continuationSeparator" w:id="0">
    <w:p w:rsidR="00D34A0C" w:rsidRDefault="00D34A0C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0C" w:rsidRDefault="00D34A0C" w:rsidP="009E6D3D">
      <w:pPr>
        <w:spacing w:after="0" w:line="240" w:lineRule="auto"/>
      </w:pPr>
      <w:r>
        <w:separator/>
      </w:r>
    </w:p>
  </w:footnote>
  <w:footnote w:type="continuationSeparator" w:id="0">
    <w:p w:rsidR="00D34A0C" w:rsidRDefault="00D34A0C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073"/>
      <w:gridCol w:w="1984"/>
    </w:tblGrid>
    <w:tr w:rsidR="00EA3CA5" w:rsidRPr="007611AE" w:rsidTr="00A065C9">
      <w:tc>
        <w:tcPr>
          <w:tcW w:w="1134" w:type="dxa"/>
          <w:vMerge w:val="restart"/>
        </w:tcPr>
        <w:p w:rsidR="00082BDA" w:rsidRPr="00082BDA" w:rsidRDefault="00082BDA" w:rsidP="00964DB7">
          <w:pPr>
            <w:pStyle w:val="a3"/>
            <w:jc w:val="center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558CCDF" wp14:editId="3AB84C3F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C10188" w:rsidRDefault="00C10188" w:rsidP="00C10188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</w:p>
        <w:p w:rsidR="00EA3CA5" w:rsidRPr="00F6401A" w:rsidRDefault="00C10188" w:rsidP="00C10188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</w:pPr>
          <w:r w:rsidRPr="00C10188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«ASFENDIAROV KAZAKH NATIONAL MEDICAL UNIVERSITY»</w:t>
          </w:r>
          <w:r w:rsidRPr="00F6401A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 xml:space="preserve"> </w:t>
          </w:r>
          <w:r w:rsidRPr="00C10188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NCJSC</w:t>
          </w:r>
        </w:p>
        <w:p w:rsidR="00EA3CA5" w:rsidRPr="009D3AF3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EA3CA5" w:rsidRPr="00C10188" w:rsidRDefault="00EA3CA5">
          <w:pPr>
            <w:pStyle w:val="a3"/>
            <w:rPr>
              <w:rFonts w:ascii="Tahoma" w:hAnsi="Tahoma" w:cs="Tahoma"/>
              <w:sz w:val="8"/>
              <w:lang w:val="en-US"/>
            </w:rPr>
          </w:pPr>
        </w:p>
      </w:tc>
    </w:tr>
    <w:tr w:rsidR="00EA3CA5" w:rsidRPr="007611AE" w:rsidTr="00D923B9">
      <w:trPr>
        <w:trHeight w:val="264"/>
      </w:trPr>
      <w:tc>
        <w:tcPr>
          <w:tcW w:w="1134" w:type="dxa"/>
          <w:vMerge/>
        </w:tcPr>
        <w:p w:rsidR="00EA3CA5" w:rsidRPr="00C10188" w:rsidRDefault="00EA3CA5">
          <w:pPr>
            <w:pStyle w:val="a3"/>
            <w:rPr>
              <w:lang w:val="en-US"/>
            </w:rPr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D923B9" w:rsidRDefault="00F6401A" w:rsidP="000D1623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en-US"/>
            </w:rPr>
            <w:t>S</w:t>
          </w:r>
          <w:r w:rsidR="00D923B9">
            <w:rPr>
              <w:rFonts w:ascii="Times New Roman" w:hAnsi="Times New Roman"/>
              <w:sz w:val="17"/>
              <w:szCs w:val="17"/>
              <w:lang w:val="en-US"/>
            </w:rPr>
            <w:t>imulation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 xml:space="preserve"> Center</w:t>
          </w:r>
        </w:p>
      </w:tc>
      <w:tc>
        <w:tcPr>
          <w:tcW w:w="3073" w:type="dxa"/>
          <w:vMerge w:val="restart"/>
        </w:tcPr>
        <w:p w:rsidR="004C3FDD" w:rsidRPr="004C3FDD" w:rsidRDefault="004C3FDD" w:rsidP="004C3FDD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F3233D" w:rsidRDefault="00F3233D" w:rsidP="00462A80">
          <w:pPr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>
            <w:rPr>
              <w:rFonts w:ascii="Times New Roman" w:hAnsi="Times New Roman"/>
              <w:sz w:val="17"/>
              <w:szCs w:val="17"/>
              <w:lang w:val="en-US"/>
            </w:rPr>
            <w:t>Rules</w:t>
          </w:r>
        </w:p>
      </w:tc>
      <w:tc>
        <w:tcPr>
          <w:tcW w:w="1984" w:type="dxa"/>
        </w:tcPr>
        <w:p w:rsidR="00D923B9" w:rsidRPr="00D923B9" w:rsidRDefault="00D923B9" w:rsidP="00D923B9">
          <w:pPr>
            <w:pStyle w:val="a3"/>
            <w:jc w:val="center"/>
            <w:rPr>
              <w:rFonts w:ascii="Times New Roman" w:hAnsi="Times New Roman"/>
              <w:color w:val="7030A0"/>
              <w:sz w:val="18"/>
              <w:szCs w:val="18"/>
              <w:lang w:val="en-US"/>
            </w:rPr>
          </w:pPr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 xml:space="preserve">Exec. </w:t>
          </w:r>
          <w:proofErr w:type="spellStart"/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>Kaumenova</w:t>
          </w:r>
          <w:proofErr w:type="spellEnd"/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 xml:space="preserve"> S.A.</w:t>
          </w:r>
        </w:p>
        <w:p w:rsidR="00EA3CA5" w:rsidRPr="00D923B9" w:rsidRDefault="00D923B9" w:rsidP="00964DB7">
          <w:pPr>
            <w:tabs>
              <w:tab w:val="left" w:pos="1327"/>
              <w:tab w:val="left" w:pos="2745"/>
            </w:tabs>
            <w:jc w:val="center"/>
            <w:rPr>
              <w:rFonts w:ascii="Times New Roman" w:hAnsi="Times New Roman"/>
              <w:sz w:val="24"/>
              <w:lang w:val="en-US"/>
            </w:rPr>
          </w:pPr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>phone</w:t>
          </w:r>
          <w:r w:rsidR="009C68CE" w:rsidRPr="00D923B9">
            <w:rPr>
              <w:rFonts w:ascii="Times New Roman" w:hAnsi="Times New Roman"/>
              <w:color w:val="7030A0"/>
              <w:sz w:val="18"/>
              <w:szCs w:val="18"/>
              <w:lang w:val="kk-KZ"/>
            </w:rPr>
            <w:t>: 7106</w:t>
          </w:r>
        </w:p>
      </w:tc>
    </w:tr>
    <w:tr w:rsidR="00EA3CA5" w:rsidTr="00D923B9">
      <w:trPr>
        <w:trHeight w:val="205"/>
      </w:trPr>
      <w:tc>
        <w:tcPr>
          <w:tcW w:w="1134" w:type="dxa"/>
          <w:vMerge/>
        </w:tcPr>
        <w:p w:rsidR="00EA3CA5" w:rsidRPr="00D923B9" w:rsidRDefault="00EA3CA5">
          <w:pPr>
            <w:pStyle w:val="a3"/>
            <w:rPr>
              <w:lang w:val="en-US"/>
            </w:rPr>
          </w:pPr>
        </w:p>
      </w:tc>
      <w:tc>
        <w:tcPr>
          <w:tcW w:w="3590" w:type="dxa"/>
          <w:vMerge/>
        </w:tcPr>
        <w:p w:rsidR="00EA3CA5" w:rsidRPr="00D923B9" w:rsidRDefault="00EA3CA5">
          <w:pPr>
            <w:pStyle w:val="a3"/>
            <w:rPr>
              <w:rFonts w:ascii="Tahoma" w:hAnsi="Tahoma" w:cs="Tahoma"/>
              <w:lang w:val="en-US"/>
            </w:rPr>
          </w:pPr>
        </w:p>
      </w:tc>
      <w:tc>
        <w:tcPr>
          <w:tcW w:w="3073" w:type="dxa"/>
          <w:vMerge/>
        </w:tcPr>
        <w:p w:rsidR="00EA3CA5" w:rsidRPr="00D923B9" w:rsidRDefault="00EA3CA5">
          <w:pPr>
            <w:pStyle w:val="a3"/>
            <w:rPr>
              <w:rFonts w:ascii="Tahoma" w:hAnsi="Tahoma" w:cs="Tahoma"/>
              <w:lang w:val="en-US"/>
            </w:rPr>
          </w:pPr>
        </w:p>
      </w:tc>
      <w:tc>
        <w:tcPr>
          <w:tcW w:w="1984" w:type="dxa"/>
        </w:tcPr>
        <w:p w:rsidR="00EA3CA5" w:rsidRPr="00320060" w:rsidRDefault="00D923B9" w:rsidP="000D1623">
          <w:pPr>
            <w:pStyle w:val="a3"/>
            <w:jc w:val="center"/>
            <w:rPr>
              <w:rFonts w:ascii="Times New Roman" w:hAnsi="Times New Roman"/>
              <w:color w:val="7030A0"/>
              <w:sz w:val="17"/>
              <w:szCs w:val="17"/>
            </w:rPr>
          </w:pP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>Page</w:t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5215B9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 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of </w:t>
          </w:r>
          <w:fldSimple w:instr="NUMPAGES  \* Arabic  \* MERGEFORMAT">
            <w:r w:rsidR="005215B9" w:rsidRPr="005215B9"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4A"/>
    <w:multiLevelType w:val="multilevel"/>
    <w:tmpl w:val="FB9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630A"/>
    <w:multiLevelType w:val="multilevel"/>
    <w:tmpl w:val="93F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31EA8"/>
    <w:multiLevelType w:val="multilevel"/>
    <w:tmpl w:val="680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1FA"/>
    <w:multiLevelType w:val="multilevel"/>
    <w:tmpl w:val="64B4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A2402"/>
    <w:multiLevelType w:val="hybridMultilevel"/>
    <w:tmpl w:val="FB9E6AF8"/>
    <w:lvl w:ilvl="0" w:tplc="B5006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CF53EE"/>
    <w:multiLevelType w:val="hybridMultilevel"/>
    <w:tmpl w:val="1A1C17D2"/>
    <w:lvl w:ilvl="0" w:tplc="28CED7A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00474"/>
    <w:rsid w:val="00012A8C"/>
    <w:rsid w:val="00077B0D"/>
    <w:rsid w:val="00080B5A"/>
    <w:rsid w:val="000814DF"/>
    <w:rsid w:val="00082BDA"/>
    <w:rsid w:val="0009115D"/>
    <w:rsid w:val="000911F5"/>
    <w:rsid w:val="00094570"/>
    <w:rsid w:val="000963E9"/>
    <w:rsid w:val="000A53F5"/>
    <w:rsid w:val="000B5266"/>
    <w:rsid w:val="000D1623"/>
    <w:rsid w:val="000D696A"/>
    <w:rsid w:val="000E52BC"/>
    <w:rsid w:val="000F21B5"/>
    <w:rsid w:val="00114356"/>
    <w:rsid w:val="0011786B"/>
    <w:rsid w:val="001217DF"/>
    <w:rsid w:val="001220D7"/>
    <w:rsid w:val="0012773E"/>
    <w:rsid w:val="0013214D"/>
    <w:rsid w:val="001321D3"/>
    <w:rsid w:val="00144544"/>
    <w:rsid w:val="00147D98"/>
    <w:rsid w:val="001579F3"/>
    <w:rsid w:val="00163871"/>
    <w:rsid w:val="0016593D"/>
    <w:rsid w:val="00173228"/>
    <w:rsid w:val="001844C3"/>
    <w:rsid w:val="0018581F"/>
    <w:rsid w:val="001869F8"/>
    <w:rsid w:val="00187BB9"/>
    <w:rsid w:val="00193A4F"/>
    <w:rsid w:val="001954F5"/>
    <w:rsid w:val="001A48E3"/>
    <w:rsid w:val="001B4235"/>
    <w:rsid w:val="001D0DCE"/>
    <w:rsid w:val="001E4A5F"/>
    <w:rsid w:val="001F7449"/>
    <w:rsid w:val="002024AD"/>
    <w:rsid w:val="002044DA"/>
    <w:rsid w:val="0021436B"/>
    <w:rsid w:val="00223613"/>
    <w:rsid w:val="002267BC"/>
    <w:rsid w:val="00232EA6"/>
    <w:rsid w:val="002471AC"/>
    <w:rsid w:val="00251B7E"/>
    <w:rsid w:val="002872E1"/>
    <w:rsid w:val="00287411"/>
    <w:rsid w:val="0029296D"/>
    <w:rsid w:val="002B0901"/>
    <w:rsid w:val="002C71FF"/>
    <w:rsid w:val="002D35B0"/>
    <w:rsid w:val="002F126D"/>
    <w:rsid w:val="002F3BFA"/>
    <w:rsid w:val="002F5207"/>
    <w:rsid w:val="00305949"/>
    <w:rsid w:val="003158BD"/>
    <w:rsid w:val="00320060"/>
    <w:rsid w:val="00331C09"/>
    <w:rsid w:val="00332D24"/>
    <w:rsid w:val="00334ECF"/>
    <w:rsid w:val="0034640E"/>
    <w:rsid w:val="00354B5F"/>
    <w:rsid w:val="00360804"/>
    <w:rsid w:val="00363131"/>
    <w:rsid w:val="00366219"/>
    <w:rsid w:val="003718D5"/>
    <w:rsid w:val="00375219"/>
    <w:rsid w:val="00381C59"/>
    <w:rsid w:val="00390F7D"/>
    <w:rsid w:val="00394773"/>
    <w:rsid w:val="003A7594"/>
    <w:rsid w:val="003B4FD7"/>
    <w:rsid w:val="003B7629"/>
    <w:rsid w:val="003C069F"/>
    <w:rsid w:val="003C3D29"/>
    <w:rsid w:val="003C54D4"/>
    <w:rsid w:val="003E4F42"/>
    <w:rsid w:val="00406001"/>
    <w:rsid w:val="004355B9"/>
    <w:rsid w:val="004459AD"/>
    <w:rsid w:val="00445F44"/>
    <w:rsid w:val="004614FD"/>
    <w:rsid w:val="00462A80"/>
    <w:rsid w:val="00464F6E"/>
    <w:rsid w:val="00465C5A"/>
    <w:rsid w:val="00465E47"/>
    <w:rsid w:val="00495995"/>
    <w:rsid w:val="0049781D"/>
    <w:rsid w:val="004A1B5F"/>
    <w:rsid w:val="004A3AD6"/>
    <w:rsid w:val="004C2BF6"/>
    <w:rsid w:val="004C3FDD"/>
    <w:rsid w:val="004E75E9"/>
    <w:rsid w:val="005109E3"/>
    <w:rsid w:val="005127F9"/>
    <w:rsid w:val="005215B9"/>
    <w:rsid w:val="005239A7"/>
    <w:rsid w:val="00536CDA"/>
    <w:rsid w:val="00544A7A"/>
    <w:rsid w:val="00547231"/>
    <w:rsid w:val="005562C7"/>
    <w:rsid w:val="005650DB"/>
    <w:rsid w:val="00572D20"/>
    <w:rsid w:val="005954E0"/>
    <w:rsid w:val="005B5B4D"/>
    <w:rsid w:val="00614C10"/>
    <w:rsid w:val="00632C87"/>
    <w:rsid w:val="00633DEF"/>
    <w:rsid w:val="00635034"/>
    <w:rsid w:val="00656F98"/>
    <w:rsid w:val="00666C4D"/>
    <w:rsid w:val="0067370A"/>
    <w:rsid w:val="0067743C"/>
    <w:rsid w:val="00680223"/>
    <w:rsid w:val="00691227"/>
    <w:rsid w:val="00695BA7"/>
    <w:rsid w:val="006E5D19"/>
    <w:rsid w:val="00702D2A"/>
    <w:rsid w:val="0070703F"/>
    <w:rsid w:val="007145D1"/>
    <w:rsid w:val="00720EB8"/>
    <w:rsid w:val="0073611A"/>
    <w:rsid w:val="0074087B"/>
    <w:rsid w:val="007547E3"/>
    <w:rsid w:val="00755F3D"/>
    <w:rsid w:val="00760264"/>
    <w:rsid w:val="007611AE"/>
    <w:rsid w:val="007779D1"/>
    <w:rsid w:val="0078241E"/>
    <w:rsid w:val="00797D1E"/>
    <w:rsid w:val="007A286F"/>
    <w:rsid w:val="007B34A5"/>
    <w:rsid w:val="007B6AFD"/>
    <w:rsid w:val="007C54AF"/>
    <w:rsid w:val="007C6E4C"/>
    <w:rsid w:val="007E3B56"/>
    <w:rsid w:val="007F1854"/>
    <w:rsid w:val="007F2A81"/>
    <w:rsid w:val="008211D5"/>
    <w:rsid w:val="00822F1C"/>
    <w:rsid w:val="00823D08"/>
    <w:rsid w:val="00830ED3"/>
    <w:rsid w:val="00831632"/>
    <w:rsid w:val="00837F6E"/>
    <w:rsid w:val="00841B65"/>
    <w:rsid w:val="00851998"/>
    <w:rsid w:val="00855C7F"/>
    <w:rsid w:val="00884A4B"/>
    <w:rsid w:val="008917CD"/>
    <w:rsid w:val="00892669"/>
    <w:rsid w:val="008B0301"/>
    <w:rsid w:val="008C5321"/>
    <w:rsid w:val="008C6697"/>
    <w:rsid w:val="008D6B32"/>
    <w:rsid w:val="008E2F0F"/>
    <w:rsid w:val="008E3F93"/>
    <w:rsid w:val="008F20EB"/>
    <w:rsid w:val="008F55DC"/>
    <w:rsid w:val="00921F0A"/>
    <w:rsid w:val="00943866"/>
    <w:rsid w:val="00954E0B"/>
    <w:rsid w:val="009556C6"/>
    <w:rsid w:val="00961D62"/>
    <w:rsid w:val="00964DB7"/>
    <w:rsid w:val="0098684D"/>
    <w:rsid w:val="00991376"/>
    <w:rsid w:val="009A050A"/>
    <w:rsid w:val="009C68CE"/>
    <w:rsid w:val="009D3AF3"/>
    <w:rsid w:val="009E15F1"/>
    <w:rsid w:val="009E6D3D"/>
    <w:rsid w:val="009F02CF"/>
    <w:rsid w:val="009F3CB4"/>
    <w:rsid w:val="00A065C9"/>
    <w:rsid w:val="00A15CF1"/>
    <w:rsid w:val="00A172D1"/>
    <w:rsid w:val="00A20E65"/>
    <w:rsid w:val="00A23331"/>
    <w:rsid w:val="00A31749"/>
    <w:rsid w:val="00A45E49"/>
    <w:rsid w:val="00A51459"/>
    <w:rsid w:val="00A7100D"/>
    <w:rsid w:val="00A92E5D"/>
    <w:rsid w:val="00AA6336"/>
    <w:rsid w:val="00AA671F"/>
    <w:rsid w:val="00AA75BF"/>
    <w:rsid w:val="00AD5AB1"/>
    <w:rsid w:val="00AD5C05"/>
    <w:rsid w:val="00AD66C2"/>
    <w:rsid w:val="00AE2A39"/>
    <w:rsid w:val="00AE7326"/>
    <w:rsid w:val="00B26A95"/>
    <w:rsid w:val="00B42B89"/>
    <w:rsid w:val="00B53211"/>
    <w:rsid w:val="00B70A00"/>
    <w:rsid w:val="00B868A1"/>
    <w:rsid w:val="00B90DD9"/>
    <w:rsid w:val="00B95F35"/>
    <w:rsid w:val="00BB587F"/>
    <w:rsid w:val="00BC0546"/>
    <w:rsid w:val="00BD038E"/>
    <w:rsid w:val="00BD7FE3"/>
    <w:rsid w:val="00BE55A0"/>
    <w:rsid w:val="00C07094"/>
    <w:rsid w:val="00C10188"/>
    <w:rsid w:val="00C11A0B"/>
    <w:rsid w:val="00C12657"/>
    <w:rsid w:val="00C14C21"/>
    <w:rsid w:val="00C26C8D"/>
    <w:rsid w:val="00C44F2F"/>
    <w:rsid w:val="00C46FD7"/>
    <w:rsid w:val="00C51232"/>
    <w:rsid w:val="00C5679E"/>
    <w:rsid w:val="00C57ABC"/>
    <w:rsid w:val="00CB31E7"/>
    <w:rsid w:val="00CC267A"/>
    <w:rsid w:val="00CC3C2B"/>
    <w:rsid w:val="00CC6512"/>
    <w:rsid w:val="00CC7F35"/>
    <w:rsid w:val="00CE5DC6"/>
    <w:rsid w:val="00CE6796"/>
    <w:rsid w:val="00CF44C7"/>
    <w:rsid w:val="00D01D92"/>
    <w:rsid w:val="00D0294D"/>
    <w:rsid w:val="00D118DD"/>
    <w:rsid w:val="00D17198"/>
    <w:rsid w:val="00D20474"/>
    <w:rsid w:val="00D34A0C"/>
    <w:rsid w:val="00D34F29"/>
    <w:rsid w:val="00D61BBD"/>
    <w:rsid w:val="00D632D6"/>
    <w:rsid w:val="00D638F4"/>
    <w:rsid w:val="00D65509"/>
    <w:rsid w:val="00D71AE9"/>
    <w:rsid w:val="00D86EEB"/>
    <w:rsid w:val="00D923B9"/>
    <w:rsid w:val="00DB6198"/>
    <w:rsid w:val="00DC54AF"/>
    <w:rsid w:val="00DC5991"/>
    <w:rsid w:val="00DD2FB7"/>
    <w:rsid w:val="00DD52CD"/>
    <w:rsid w:val="00DF02F1"/>
    <w:rsid w:val="00E03398"/>
    <w:rsid w:val="00E05320"/>
    <w:rsid w:val="00E1144E"/>
    <w:rsid w:val="00E3234C"/>
    <w:rsid w:val="00E3460F"/>
    <w:rsid w:val="00E560EE"/>
    <w:rsid w:val="00E56F82"/>
    <w:rsid w:val="00E63104"/>
    <w:rsid w:val="00E67270"/>
    <w:rsid w:val="00E73107"/>
    <w:rsid w:val="00E87D35"/>
    <w:rsid w:val="00EA1936"/>
    <w:rsid w:val="00EA3CA5"/>
    <w:rsid w:val="00EA3DF4"/>
    <w:rsid w:val="00EB0B5E"/>
    <w:rsid w:val="00EB5BF1"/>
    <w:rsid w:val="00EC0FA8"/>
    <w:rsid w:val="00EC1E4A"/>
    <w:rsid w:val="00EC272D"/>
    <w:rsid w:val="00ED46EC"/>
    <w:rsid w:val="00ED712D"/>
    <w:rsid w:val="00EF1516"/>
    <w:rsid w:val="00EF2C68"/>
    <w:rsid w:val="00EF3DAE"/>
    <w:rsid w:val="00F172CA"/>
    <w:rsid w:val="00F22DBA"/>
    <w:rsid w:val="00F2389E"/>
    <w:rsid w:val="00F2598B"/>
    <w:rsid w:val="00F26DC8"/>
    <w:rsid w:val="00F276EA"/>
    <w:rsid w:val="00F3233D"/>
    <w:rsid w:val="00F33881"/>
    <w:rsid w:val="00F3638E"/>
    <w:rsid w:val="00F6401A"/>
    <w:rsid w:val="00F65D12"/>
    <w:rsid w:val="00F70930"/>
    <w:rsid w:val="00F73BF8"/>
    <w:rsid w:val="00F97593"/>
    <w:rsid w:val="00F97B29"/>
    <w:rsid w:val="00FB313F"/>
    <w:rsid w:val="00FC1D6E"/>
    <w:rsid w:val="00FF34FB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2019-10-17T09:15:00Z</cp:lastPrinted>
  <dcterms:created xsi:type="dcterms:W3CDTF">2019-05-28T09:00:00Z</dcterms:created>
  <dcterms:modified xsi:type="dcterms:W3CDTF">2019-10-23T08:18:00Z</dcterms:modified>
</cp:coreProperties>
</file>